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D6" w:rsidRPr="004538F6" w:rsidRDefault="00E824D6">
      <w:pPr>
        <w:rPr>
          <w:rFonts w:ascii="Georgia" w:hAnsi="Georgia"/>
          <w:szCs w:val="20"/>
        </w:rPr>
      </w:pPr>
    </w:p>
    <w:p w:rsidR="00F43C71" w:rsidRPr="004538F6" w:rsidRDefault="00F43C71">
      <w:pPr>
        <w:rPr>
          <w:rFonts w:ascii="Georgia" w:hAnsi="Georgia"/>
          <w:szCs w:val="20"/>
        </w:rPr>
      </w:pPr>
    </w:p>
    <w:tbl>
      <w:tblPr>
        <w:tblW w:w="14747" w:type="dxa"/>
        <w:tblCellMar>
          <w:left w:w="70" w:type="dxa"/>
          <w:right w:w="70" w:type="dxa"/>
        </w:tblCellMar>
        <w:tblLook w:val="04A0" w:firstRow="1" w:lastRow="0" w:firstColumn="1" w:lastColumn="0" w:noHBand="0" w:noVBand="1"/>
      </w:tblPr>
      <w:tblGrid>
        <w:gridCol w:w="3686"/>
        <w:gridCol w:w="3687"/>
        <w:gridCol w:w="3687"/>
        <w:gridCol w:w="3687"/>
      </w:tblGrid>
      <w:tr w:rsidR="0077521E" w:rsidRPr="00AB0938" w:rsidTr="00F9058B">
        <w:trPr>
          <w:tblHeader/>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hideMark/>
          </w:tcPr>
          <w:p w:rsidR="0077521E" w:rsidRPr="00FE4E26" w:rsidRDefault="0077521E" w:rsidP="0077521E">
            <w:pPr>
              <w:spacing w:after="120" w:line="240" w:lineRule="auto"/>
              <w:rPr>
                <w:rFonts w:eastAsia="Times New Roman" w:cs="Arial"/>
                <w:b/>
                <w:bCs/>
                <w:color w:val="000000"/>
                <w:sz w:val="18"/>
                <w:szCs w:val="18"/>
                <w:lang w:eastAsia="nl-NL"/>
              </w:rPr>
            </w:pPr>
            <w:r>
              <w:rPr>
                <w:rFonts w:eastAsia="Times New Roman" w:cs="Arial"/>
                <w:b/>
                <w:bCs/>
                <w:color w:val="000000"/>
                <w:sz w:val="18"/>
                <w:szCs w:val="18"/>
                <w:lang w:eastAsia="nl-NL"/>
              </w:rPr>
              <w:t>Algemene Gedrags- en beroepsregels</w:t>
            </w:r>
          </w:p>
          <w:p w:rsidR="0077521E" w:rsidRPr="00FE4E26" w:rsidRDefault="0077521E" w:rsidP="0077521E">
            <w:pPr>
              <w:spacing w:after="120" w:line="240" w:lineRule="auto"/>
              <w:rPr>
                <w:rFonts w:eastAsia="Times New Roman" w:cs="Arial"/>
                <w:b/>
                <w:bCs/>
                <w:color w:val="000000"/>
                <w:sz w:val="18"/>
                <w:szCs w:val="18"/>
                <w:lang w:eastAsia="nl-NL"/>
              </w:rPr>
            </w:pPr>
            <w:r>
              <w:rPr>
                <w:rFonts w:eastAsia="Times New Roman" w:cs="Arial"/>
                <w:bCs/>
                <w:color w:val="000000"/>
                <w:sz w:val="18"/>
                <w:szCs w:val="18"/>
                <w:lang w:eastAsia="nl-NL"/>
              </w:rPr>
              <w:t>Huidige tekst: vastgesteld 19 november 2015</w:t>
            </w:r>
          </w:p>
        </w:tc>
        <w:tc>
          <w:tcPr>
            <w:tcW w:w="3687" w:type="dxa"/>
            <w:tcBorders>
              <w:top w:val="single" w:sz="4" w:space="0" w:color="auto"/>
              <w:left w:val="nil"/>
              <w:bottom w:val="single" w:sz="4" w:space="0" w:color="auto"/>
              <w:right w:val="single" w:sz="4" w:space="0" w:color="auto"/>
            </w:tcBorders>
            <w:shd w:val="clear" w:color="auto" w:fill="D9D9D9" w:themeFill="background1" w:themeFillShade="D9"/>
            <w:tcMar>
              <w:top w:w="113" w:type="dxa"/>
              <w:bottom w:w="113" w:type="dxa"/>
            </w:tcMar>
            <w:hideMark/>
          </w:tcPr>
          <w:p w:rsidR="0077521E" w:rsidRPr="00FE4E26" w:rsidRDefault="0077521E" w:rsidP="0077521E">
            <w:pPr>
              <w:spacing w:after="120" w:line="240" w:lineRule="auto"/>
              <w:rPr>
                <w:rFonts w:eastAsia="Times New Roman" w:cs="Arial"/>
                <w:b/>
                <w:bCs/>
                <w:color w:val="000000"/>
                <w:sz w:val="18"/>
                <w:szCs w:val="18"/>
                <w:lang w:eastAsia="nl-NL"/>
              </w:rPr>
            </w:pPr>
            <w:r>
              <w:rPr>
                <w:rFonts w:eastAsia="Times New Roman" w:cs="Arial"/>
                <w:b/>
                <w:bCs/>
                <w:color w:val="000000"/>
                <w:sz w:val="18"/>
                <w:szCs w:val="18"/>
                <w:lang w:eastAsia="nl-NL"/>
              </w:rPr>
              <w:t>T</w:t>
            </w:r>
            <w:r w:rsidRPr="00FE4E26">
              <w:rPr>
                <w:rFonts w:eastAsia="Times New Roman" w:cs="Arial"/>
                <w:b/>
                <w:bCs/>
                <w:color w:val="000000"/>
                <w:sz w:val="18"/>
                <w:szCs w:val="18"/>
                <w:lang w:eastAsia="nl-NL"/>
              </w:rPr>
              <w:t>oelichting</w:t>
            </w:r>
            <w:r>
              <w:rPr>
                <w:rFonts w:eastAsia="Times New Roman" w:cs="Arial"/>
                <w:b/>
                <w:bCs/>
                <w:color w:val="000000"/>
                <w:sz w:val="18"/>
                <w:szCs w:val="18"/>
                <w:lang w:eastAsia="nl-NL"/>
              </w:rPr>
              <w:t xml:space="preserve"> wijziging</w:t>
            </w:r>
          </w:p>
        </w:tc>
        <w:tc>
          <w:tcPr>
            <w:tcW w:w="3687" w:type="dxa"/>
            <w:tcBorders>
              <w:top w:val="single" w:sz="4" w:space="0" w:color="auto"/>
              <w:left w:val="nil"/>
              <w:bottom w:val="single" w:sz="4" w:space="0" w:color="auto"/>
              <w:right w:val="single" w:sz="4" w:space="0" w:color="auto"/>
            </w:tcBorders>
            <w:shd w:val="clear" w:color="auto" w:fill="D9D9D9" w:themeFill="background1" w:themeFillShade="D9"/>
          </w:tcPr>
          <w:p w:rsidR="0077521E" w:rsidRPr="00FE4E26" w:rsidRDefault="0077521E" w:rsidP="0077521E">
            <w:pPr>
              <w:spacing w:after="120" w:line="240" w:lineRule="auto"/>
              <w:rPr>
                <w:rFonts w:eastAsia="Times New Roman" w:cs="Arial"/>
                <w:b/>
                <w:bCs/>
                <w:color w:val="000000"/>
                <w:sz w:val="18"/>
                <w:szCs w:val="18"/>
                <w:lang w:eastAsia="nl-NL"/>
              </w:rPr>
            </w:pPr>
            <w:r>
              <w:rPr>
                <w:rFonts w:eastAsia="Times New Roman" w:cs="Arial"/>
                <w:b/>
                <w:bCs/>
                <w:color w:val="000000"/>
                <w:sz w:val="18"/>
                <w:szCs w:val="18"/>
                <w:lang w:eastAsia="nl-NL"/>
              </w:rPr>
              <w:t>Algemene Gedrags- en beroepsregels</w:t>
            </w:r>
          </w:p>
          <w:p w:rsidR="0077521E" w:rsidRPr="00FE4E26" w:rsidRDefault="0077521E" w:rsidP="0077521E">
            <w:pPr>
              <w:spacing w:after="120" w:line="240" w:lineRule="auto"/>
              <w:rPr>
                <w:rFonts w:eastAsia="Times New Roman" w:cs="Arial"/>
                <w:bCs/>
                <w:color w:val="000000"/>
                <w:sz w:val="18"/>
                <w:szCs w:val="18"/>
                <w:lang w:eastAsia="nl-NL"/>
              </w:rPr>
            </w:pPr>
            <w:r>
              <w:rPr>
                <w:rFonts w:eastAsia="Times New Roman" w:cs="Arial"/>
                <w:bCs/>
                <w:color w:val="000000"/>
                <w:sz w:val="18"/>
                <w:szCs w:val="18"/>
                <w:lang w:eastAsia="nl-NL"/>
              </w:rPr>
              <w:t xml:space="preserve">Nieuwe tekst: </w:t>
            </w:r>
            <w:r w:rsidRPr="00FE4E26">
              <w:rPr>
                <w:rFonts w:eastAsia="Times New Roman" w:cs="Arial"/>
                <w:bCs/>
                <w:color w:val="000000"/>
                <w:sz w:val="18"/>
                <w:szCs w:val="18"/>
                <w:lang w:eastAsia="nl-NL"/>
              </w:rPr>
              <w:t>CONCEPT</w:t>
            </w:r>
          </w:p>
        </w:tc>
        <w:tc>
          <w:tcPr>
            <w:tcW w:w="3687" w:type="dxa"/>
            <w:tcBorders>
              <w:top w:val="single" w:sz="4" w:space="0" w:color="auto"/>
              <w:left w:val="nil"/>
              <w:bottom w:val="single" w:sz="4" w:space="0" w:color="auto"/>
              <w:right w:val="single" w:sz="4" w:space="0" w:color="auto"/>
            </w:tcBorders>
            <w:shd w:val="clear" w:color="auto" w:fill="D9D9D9" w:themeFill="background1" w:themeFillShade="D9"/>
          </w:tcPr>
          <w:p w:rsidR="0077521E" w:rsidRPr="00FE4E26" w:rsidRDefault="0077521E" w:rsidP="0077521E">
            <w:pPr>
              <w:spacing w:after="120" w:line="240" w:lineRule="auto"/>
              <w:rPr>
                <w:rFonts w:eastAsia="Times New Roman" w:cs="Arial"/>
                <w:b/>
                <w:bCs/>
                <w:color w:val="000000"/>
                <w:sz w:val="18"/>
                <w:szCs w:val="18"/>
                <w:lang w:eastAsia="nl-NL"/>
              </w:rPr>
            </w:pPr>
            <w:r w:rsidRPr="00FE4E26">
              <w:rPr>
                <w:rFonts w:eastAsia="Times New Roman" w:cs="Arial"/>
                <w:b/>
                <w:bCs/>
                <w:color w:val="000000"/>
                <w:sz w:val="18"/>
                <w:szCs w:val="18"/>
                <w:lang w:eastAsia="nl-NL"/>
              </w:rPr>
              <w:t>Opmerking consultatie</w:t>
            </w:r>
          </w:p>
        </w:tc>
      </w:tr>
      <w:tr w:rsidR="003C53B1" w:rsidRPr="00180710" w:rsidTr="00F9058B">
        <w:tc>
          <w:tcPr>
            <w:tcW w:w="3686" w:type="dxa"/>
            <w:tcBorders>
              <w:top w:val="nil"/>
              <w:left w:val="single" w:sz="4" w:space="0" w:color="auto"/>
              <w:bottom w:val="single" w:sz="4" w:space="0" w:color="auto"/>
              <w:right w:val="single" w:sz="4" w:space="0" w:color="auto"/>
            </w:tcBorders>
            <w:shd w:val="clear" w:color="auto" w:fill="auto"/>
            <w:tcMar>
              <w:top w:w="113" w:type="dxa"/>
              <w:bottom w:w="170" w:type="dxa"/>
            </w:tcMar>
            <w:hideMark/>
          </w:tcPr>
          <w:p w:rsidR="003C53B1" w:rsidRPr="00180710" w:rsidRDefault="003C53B1" w:rsidP="00DF360D">
            <w:pPr>
              <w:spacing w:line="240" w:lineRule="auto"/>
              <w:rPr>
                <w:rFonts w:eastAsia="Times New Roman" w:cs="Arial"/>
                <w:color w:val="000000"/>
                <w:sz w:val="18"/>
                <w:szCs w:val="18"/>
                <w:lang w:eastAsia="nl-NL"/>
              </w:rPr>
            </w:pPr>
            <w:r w:rsidRPr="00180710">
              <w:rPr>
                <w:rFonts w:eastAsia="Times New Roman" w:cs="Arial"/>
                <w:b/>
                <w:bCs/>
                <w:color w:val="000000"/>
                <w:sz w:val="18"/>
                <w:szCs w:val="18"/>
                <w:lang w:eastAsia="nl-NL"/>
              </w:rPr>
              <w:t>Preambule (p. 3, 3e alinea)</w:t>
            </w:r>
            <w:r w:rsidRPr="00180710">
              <w:rPr>
                <w:rFonts w:eastAsia="Times New Roman" w:cs="Arial"/>
                <w:color w:val="000000"/>
                <w:sz w:val="18"/>
                <w:szCs w:val="18"/>
                <w:lang w:eastAsia="nl-NL"/>
              </w:rPr>
              <w:br/>
              <w:t>In aanmerking nemende de internationaal geldende taxatiestandaarden van TEGoVA (EVS) alsmede de internationaal geldende taxatiestandaarden van de International Valuation Standards Council (IVS);</w:t>
            </w:r>
          </w:p>
        </w:tc>
        <w:tc>
          <w:tcPr>
            <w:tcW w:w="3687" w:type="dxa"/>
            <w:tcBorders>
              <w:top w:val="nil"/>
              <w:left w:val="nil"/>
              <w:bottom w:val="single" w:sz="4" w:space="0" w:color="auto"/>
              <w:right w:val="single" w:sz="4" w:space="0" w:color="auto"/>
            </w:tcBorders>
            <w:shd w:val="clear" w:color="auto" w:fill="auto"/>
            <w:tcMar>
              <w:top w:w="113" w:type="dxa"/>
              <w:bottom w:w="170" w:type="dxa"/>
            </w:tcMar>
            <w:hideMark/>
          </w:tcPr>
          <w:p w:rsidR="003C53B1" w:rsidRPr="00180710" w:rsidRDefault="003C53B1" w:rsidP="00DF360D">
            <w:pPr>
              <w:spacing w:line="240" w:lineRule="auto"/>
              <w:rPr>
                <w:rFonts w:eastAsia="Times New Roman" w:cs="Arial"/>
                <w:color w:val="000000"/>
                <w:sz w:val="18"/>
                <w:szCs w:val="18"/>
                <w:lang w:eastAsia="nl-NL"/>
              </w:rPr>
            </w:pPr>
            <w:r w:rsidRPr="00180710">
              <w:rPr>
                <w:rFonts w:eastAsia="Times New Roman" w:cs="Arial"/>
                <w:color w:val="000000"/>
                <w:sz w:val="18"/>
                <w:szCs w:val="18"/>
                <w:lang w:eastAsia="nl-NL"/>
              </w:rPr>
              <w:t>Beperkte tekstuele aanpassing.</w:t>
            </w:r>
          </w:p>
        </w:tc>
        <w:tc>
          <w:tcPr>
            <w:tcW w:w="3687" w:type="dxa"/>
            <w:tcBorders>
              <w:top w:val="nil"/>
              <w:left w:val="nil"/>
              <w:bottom w:val="single" w:sz="4" w:space="0" w:color="auto"/>
              <w:right w:val="single" w:sz="4" w:space="0" w:color="auto"/>
            </w:tcBorders>
          </w:tcPr>
          <w:p w:rsidR="003C53B1" w:rsidRPr="00180710" w:rsidRDefault="003C53B1" w:rsidP="00DF360D">
            <w:pPr>
              <w:spacing w:line="240" w:lineRule="auto"/>
              <w:rPr>
                <w:rFonts w:eastAsia="Times New Roman" w:cs="Arial"/>
                <w:b/>
                <w:color w:val="000000"/>
                <w:sz w:val="18"/>
                <w:szCs w:val="18"/>
                <w:lang w:eastAsia="nl-NL"/>
              </w:rPr>
            </w:pPr>
            <w:r w:rsidRPr="00180710">
              <w:rPr>
                <w:rFonts w:eastAsia="Times New Roman" w:cs="Arial"/>
                <w:b/>
                <w:color w:val="000000"/>
                <w:sz w:val="18"/>
                <w:szCs w:val="18"/>
                <w:lang w:eastAsia="nl-NL"/>
              </w:rPr>
              <w:t>Preambule (p. 3, 3e alinea)</w:t>
            </w:r>
          </w:p>
          <w:p w:rsidR="003C53B1" w:rsidRPr="00180710" w:rsidRDefault="003C53B1" w:rsidP="00DF360D">
            <w:pPr>
              <w:spacing w:line="240" w:lineRule="auto"/>
              <w:rPr>
                <w:rFonts w:eastAsia="Times New Roman" w:cs="Arial"/>
                <w:color w:val="000000"/>
                <w:sz w:val="18"/>
                <w:szCs w:val="18"/>
                <w:lang w:eastAsia="nl-NL"/>
              </w:rPr>
            </w:pPr>
            <w:r w:rsidRPr="00180710">
              <w:rPr>
                <w:rFonts w:eastAsia="Times New Roman" w:cs="Arial"/>
                <w:color w:val="000000"/>
                <w:sz w:val="18"/>
                <w:szCs w:val="18"/>
                <w:lang w:eastAsia="nl-NL"/>
              </w:rPr>
              <w:t>In aanmerking nemende de internationaal geldende taxatiestandaarden van TEGoVA (bekend als EVS) alsmede de internationaal geldende taxatiestandaarden van de International Valuation Standards Council (bekend als IVS);</w:t>
            </w:r>
          </w:p>
        </w:tc>
        <w:tc>
          <w:tcPr>
            <w:tcW w:w="3687" w:type="dxa"/>
            <w:tcBorders>
              <w:top w:val="nil"/>
              <w:left w:val="nil"/>
              <w:bottom w:val="single" w:sz="4" w:space="0" w:color="auto"/>
              <w:right w:val="single" w:sz="4" w:space="0" w:color="auto"/>
            </w:tcBorders>
          </w:tcPr>
          <w:p w:rsidR="003C53B1" w:rsidRPr="00180710" w:rsidRDefault="003C53B1" w:rsidP="00DF360D">
            <w:pPr>
              <w:spacing w:line="240" w:lineRule="auto"/>
              <w:rPr>
                <w:rFonts w:eastAsia="Times New Roman" w:cs="Arial"/>
                <w:color w:val="000000"/>
                <w:sz w:val="18"/>
                <w:szCs w:val="18"/>
                <w:lang w:eastAsia="nl-NL"/>
              </w:rPr>
            </w:pPr>
          </w:p>
        </w:tc>
      </w:tr>
      <w:tr w:rsidR="003C53B1" w:rsidRPr="00AB0938" w:rsidTr="00F9058B">
        <w:tc>
          <w:tcPr>
            <w:tcW w:w="3686" w:type="dxa"/>
            <w:tcBorders>
              <w:top w:val="nil"/>
              <w:left w:val="single" w:sz="4" w:space="0" w:color="auto"/>
              <w:bottom w:val="single" w:sz="4" w:space="0" w:color="auto"/>
              <w:right w:val="single" w:sz="4" w:space="0" w:color="auto"/>
            </w:tcBorders>
            <w:shd w:val="clear" w:color="auto" w:fill="auto"/>
            <w:tcMar>
              <w:top w:w="113" w:type="dxa"/>
              <w:bottom w:w="170" w:type="dxa"/>
            </w:tcMar>
            <w:hideMark/>
          </w:tcPr>
          <w:p w:rsidR="003C53B1" w:rsidRDefault="003C53B1" w:rsidP="003C53B1">
            <w:pPr>
              <w:spacing w:line="240" w:lineRule="auto"/>
              <w:rPr>
                <w:rFonts w:eastAsia="Times New Roman" w:cs="Arial"/>
                <w:bCs/>
                <w:color w:val="000000"/>
                <w:sz w:val="18"/>
                <w:szCs w:val="18"/>
                <w:lang w:eastAsia="nl-NL"/>
              </w:rPr>
            </w:pPr>
            <w:r>
              <w:rPr>
                <w:rFonts w:eastAsia="Times New Roman" w:cs="Arial"/>
                <w:bCs/>
                <w:color w:val="000000"/>
                <w:sz w:val="18"/>
                <w:szCs w:val="18"/>
                <w:lang w:eastAsia="nl-NL"/>
              </w:rPr>
              <w:t>Artikel 1</w:t>
            </w:r>
          </w:p>
          <w:p w:rsidR="003C53B1" w:rsidRPr="00D7201F" w:rsidRDefault="003C53B1" w:rsidP="003C53B1">
            <w:pPr>
              <w:spacing w:line="240" w:lineRule="auto"/>
              <w:rPr>
                <w:rFonts w:eastAsia="Times New Roman" w:cs="Arial"/>
                <w:b/>
                <w:bCs/>
                <w:color w:val="000000"/>
                <w:sz w:val="18"/>
                <w:szCs w:val="18"/>
                <w:lang w:eastAsia="nl-NL"/>
              </w:rPr>
            </w:pPr>
            <w:r>
              <w:rPr>
                <w:rFonts w:eastAsia="Times New Roman" w:cs="Arial"/>
                <w:b/>
                <w:bCs/>
                <w:color w:val="000000"/>
                <w:sz w:val="18"/>
                <w:szCs w:val="18"/>
                <w:lang w:eastAsia="nl-NL"/>
              </w:rPr>
              <w:t>(</w:t>
            </w:r>
            <w:r w:rsidRPr="00644610">
              <w:rPr>
                <w:rFonts w:eastAsia="Times New Roman" w:cs="Arial"/>
                <w:b/>
                <w:bCs/>
                <w:color w:val="000000"/>
                <w:sz w:val="18"/>
                <w:szCs w:val="18"/>
                <w:lang w:eastAsia="nl-NL"/>
              </w:rPr>
              <w:t xml:space="preserve">d) </w:t>
            </w:r>
            <w:r w:rsidRPr="00644610">
              <w:rPr>
                <w:rFonts w:eastAsia="Times New Roman" w:cs="Arial"/>
                <w:b/>
                <w:bCs/>
                <w:i/>
                <w:iCs/>
                <w:color w:val="000000"/>
                <w:sz w:val="18"/>
                <w:szCs w:val="18"/>
                <w:lang w:eastAsia="nl-NL"/>
              </w:rPr>
              <w:t>opdrachtgever:</w:t>
            </w:r>
            <w:r w:rsidRPr="00644610">
              <w:rPr>
                <w:rFonts w:eastAsia="Times New Roman" w:cs="Arial"/>
                <w:color w:val="000000"/>
                <w:sz w:val="18"/>
                <w:szCs w:val="18"/>
                <w:lang w:eastAsia="nl-NL"/>
              </w:rPr>
              <w:t xml:space="preserve"> de natuurlijke persoon of rechtspersoon die aan een geregistreerde taxateur opdracht geeft tot het verrichten van een professionele taxatiedienst</w:t>
            </w:r>
          </w:p>
        </w:tc>
        <w:tc>
          <w:tcPr>
            <w:tcW w:w="3687" w:type="dxa"/>
            <w:tcBorders>
              <w:top w:val="nil"/>
              <w:left w:val="nil"/>
              <w:bottom w:val="single" w:sz="4" w:space="0" w:color="auto"/>
              <w:right w:val="single" w:sz="4" w:space="0" w:color="auto"/>
            </w:tcBorders>
            <w:shd w:val="clear" w:color="auto" w:fill="auto"/>
            <w:tcMar>
              <w:top w:w="113" w:type="dxa"/>
              <w:bottom w:w="170" w:type="dxa"/>
            </w:tcMar>
            <w:hideMark/>
          </w:tcPr>
          <w:p w:rsidR="003C53B1" w:rsidRPr="00180710" w:rsidRDefault="003C53B1" w:rsidP="003C53B1">
            <w:pPr>
              <w:spacing w:line="240" w:lineRule="auto"/>
              <w:rPr>
                <w:rFonts w:eastAsia="Times New Roman" w:cs="Arial"/>
                <w:color w:val="000000"/>
                <w:sz w:val="18"/>
                <w:szCs w:val="18"/>
                <w:lang w:eastAsia="nl-NL"/>
              </w:rPr>
            </w:pPr>
            <w:r w:rsidRPr="00180710">
              <w:rPr>
                <w:rFonts w:eastAsia="Times New Roman" w:cs="Arial"/>
                <w:color w:val="000000"/>
                <w:sz w:val="18"/>
                <w:szCs w:val="18"/>
                <w:lang w:eastAsia="nl-NL"/>
              </w:rPr>
              <w:t>Aan de bepaling is toegevoegd "aan het taxatiebedrijf", omdat dit beter overeenstemt met de dagelijkse praktijk.</w:t>
            </w:r>
          </w:p>
        </w:tc>
        <w:tc>
          <w:tcPr>
            <w:tcW w:w="3687" w:type="dxa"/>
            <w:tcBorders>
              <w:top w:val="nil"/>
              <w:left w:val="nil"/>
              <w:bottom w:val="single" w:sz="4" w:space="0" w:color="auto"/>
              <w:right w:val="single" w:sz="4" w:space="0" w:color="auto"/>
            </w:tcBorders>
          </w:tcPr>
          <w:p w:rsidR="003C53B1" w:rsidRDefault="003C53B1" w:rsidP="003C53B1">
            <w:pPr>
              <w:spacing w:line="240" w:lineRule="auto"/>
              <w:rPr>
                <w:rFonts w:eastAsia="Times New Roman" w:cs="Arial"/>
                <w:bCs/>
                <w:color w:val="000000"/>
                <w:sz w:val="18"/>
                <w:szCs w:val="18"/>
                <w:lang w:eastAsia="nl-NL"/>
              </w:rPr>
            </w:pPr>
            <w:r>
              <w:rPr>
                <w:rFonts w:eastAsia="Times New Roman" w:cs="Arial"/>
                <w:bCs/>
                <w:color w:val="000000"/>
                <w:sz w:val="18"/>
                <w:szCs w:val="18"/>
                <w:lang w:eastAsia="nl-NL"/>
              </w:rPr>
              <w:t>Artikel 1</w:t>
            </w:r>
          </w:p>
          <w:p w:rsidR="003C53B1" w:rsidRPr="00644610" w:rsidRDefault="003C53B1" w:rsidP="003C53B1">
            <w:pPr>
              <w:spacing w:line="240" w:lineRule="auto"/>
              <w:rPr>
                <w:rFonts w:eastAsia="Times New Roman" w:cs="Arial"/>
                <w:color w:val="000000"/>
                <w:sz w:val="18"/>
                <w:szCs w:val="18"/>
                <w:lang w:eastAsia="nl-NL"/>
              </w:rPr>
            </w:pPr>
            <w:r>
              <w:rPr>
                <w:rFonts w:eastAsia="Times New Roman" w:cs="Arial"/>
                <w:b/>
                <w:bCs/>
                <w:color w:val="000000"/>
                <w:sz w:val="18"/>
                <w:szCs w:val="18"/>
                <w:lang w:eastAsia="nl-NL"/>
              </w:rPr>
              <w:t>(</w:t>
            </w:r>
            <w:r w:rsidRPr="00644610">
              <w:rPr>
                <w:rFonts w:eastAsia="Times New Roman" w:cs="Arial"/>
                <w:b/>
                <w:bCs/>
                <w:color w:val="000000"/>
                <w:sz w:val="18"/>
                <w:szCs w:val="18"/>
                <w:lang w:eastAsia="nl-NL"/>
              </w:rPr>
              <w:t>d)</w:t>
            </w:r>
            <w:r>
              <w:rPr>
                <w:rFonts w:eastAsia="Times New Roman" w:cs="Arial"/>
                <w:b/>
                <w:bCs/>
                <w:color w:val="000000"/>
                <w:sz w:val="18"/>
                <w:szCs w:val="18"/>
                <w:lang w:eastAsia="nl-NL"/>
              </w:rPr>
              <w:t xml:space="preserve"> </w:t>
            </w:r>
            <w:r w:rsidRPr="00644610">
              <w:rPr>
                <w:rFonts w:eastAsia="Times New Roman" w:cs="Arial"/>
                <w:b/>
                <w:bCs/>
                <w:i/>
                <w:iCs/>
                <w:color w:val="000000"/>
                <w:sz w:val="18"/>
                <w:szCs w:val="18"/>
                <w:lang w:eastAsia="nl-NL"/>
              </w:rPr>
              <w:t>opdrachtgever:</w:t>
            </w:r>
            <w:r w:rsidRPr="00644610">
              <w:rPr>
                <w:rFonts w:eastAsia="Times New Roman" w:cs="Arial"/>
                <w:color w:val="000000"/>
                <w:sz w:val="18"/>
                <w:szCs w:val="18"/>
                <w:lang w:eastAsia="nl-NL"/>
              </w:rPr>
              <w:t xml:space="preserve"> de natuurlijke persoon of rechtspersoon die aan een geregistreerde taxateur </w:t>
            </w:r>
            <w:r>
              <w:rPr>
                <w:rFonts w:eastAsia="Times New Roman" w:cs="Arial"/>
                <w:color w:val="000000"/>
                <w:sz w:val="18"/>
                <w:szCs w:val="18"/>
                <w:lang w:eastAsia="nl-NL"/>
              </w:rPr>
              <w:t xml:space="preserve">of een taxatiebedrijf </w:t>
            </w:r>
            <w:r w:rsidRPr="00644610">
              <w:rPr>
                <w:rFonts w:eastAsia="Times New Roman" w:cs="Arial"/>
                <w:color w:val="000000"/>
                <w:sz w:val="18"/>
                <w:szCs w:val="18"/>
                <w:lang w:eastAsia="nl-NL"/>
              </w:rPr>
              <w:t>opdracht geeft tot het verrichten van een professionele taxatiedienst</w:t>
            </w:r>
          </w:p>
        </w:tc>
        <w:tc>
          <w:tcPr>
            <w:tcW w:w="3687" w:type="dxa"/>
            <w:tcBorders>
              <w:top w:val="nil"/>
              <w:left w:val="nil"/>
              <w:bottom w:val="single" w:sz="4" w:space="0" w:color="auto"/>
              <w:right w:val="single" w:sz="4" w:space="0" w:color="auto"/>
            </w:tcBorders>
          </w:tcPr>
          <w:p w:rsidR="003C53B1" w:rsidRPr="00644610" w:rsidRDefault="003C53B1" w:rsidP="003C53B1">
            <w:pPr>
              <w:spacing w:line="240" w:lineRule="auto"/>
              <w:rPr>
                <w:rFonts w:eastAsia="Times New Roman" w:cs="Arial"/>
                <w:color w:val="000000"/>
                <w:sz w:val="18"/>
                <w:szCs w:val="18"/>
                <w:lang w:eastAsia="nl-NL"/>
              </w:rPr>
            </w:pPr>
          </w:p>
        </w:tc>
      </w:tr>
      <w:tr w:rsidR="003C53B1" w:rsidRPr="00AB0938" w:rsidTr="00F9058B">
        <w:tc>
          <w:tcPr>
            <w:tcW w:w="3686" w:type="dxa"/>
            <w:tcBorders>
              <w:top w:val="nil"/>
              <w:left w:val="single" w:sz="4" w:space="0" w:color="auto"/>
              <w:bottom w:val="single" w:sz="4" w:space="0" w:color="auto"/>
              <w:right w:val="single" w:sz="4" w:space="0" w:color="auto"/>
            </w:tcBorders>
            <w:shd w:val="clear" w:color="auto" w:fill="auto"/>
            <w:tcMar>
              <w:top w:w="113" w:type="dxa"/>
              <w:bottom w:w="170" w:type="dxa"/>
            </w:tcMar>
          </w:tcPr>
          <w:p w:rsidR="003C53B1" w:rsidRDefault="003C53B1" w:rsidP="003C53B1">
            <w:pPr>
              <w:spacing w:line="240" w:lineRule="auto"/>
              <w:rPr>
                <w:rFonts w:eastAsia="Times New Roman" w:cs="Arial"/>
                <w:bCs/>
                <w:color w:val="000000"/>
                <w:sz w:val="18"/>
                <w:szCs w:val="18"/>
                <w:lang w:eastAsia="nl-NL"/>
              </w:rPr>
            </w:pPr>
            <w:r>
              <w:rPr>
                <w:rFonts w:eastAsia="Times New Roman" w:cs="Arial"/>
                <w:bCs/>
                <w:color w:val="000000"/>
                <w:sz w:val="18"/>
                <w:szCs w:val="18"/>
                <w:lang w:eastAsia="nl-NL"/>
              </w:rPr>
              <w:t>Artikel 1</w:t>
            </w:r>
          </w:p>
          <w:p w:rsidR="003C53B1" w:rsidRPr="00644610" w:rsidRDefault="003C53B1" w:rsidP="003C53B1">
            <w:pPr>
              <w:spacing w:line="240" w:lineRule="auto"/>
              <w:rPr>
                <w:rFonts w:eastAsia="Times New Roman" w:cs="Arial"/>
                <w:color w:val="000000"/>
                <w:sz w:val="18"/>
                <w:szCs w:val="18"/>
                <w:lang w:eastAsia="nl-NL"/>
              </w:rPr>
            </w:pPr>
            <w:r>
              <w:rPr>
                <w:rFonts w:eastAsia="Times New Roman" w:cs="Arial"/>
                <w:b/>
                <w:bCs/>
                <w:color w:val="000000"/>
                <w:sz w:val="18"/>
                <w:szCs w:val="18"/>
                <w:lang w:eastAsia="nl-NL"/>
              </w:rPr>
              <w:t>(j</w:t>
            </w:r>
            <w:r w:rsidRPr="00644610">
              <w:rPr>
                <w:rFonts w:eastAsia="Times New Roman" w:cs="Arial"/>
                <w:b/>
                <w:bCs/>
                <w:color w:val="000000"/>
                <w:sz w:val="18"/>
                <w:szCs w:val="18"/>
                <w:lang w:eastAsia="nl-NL"/>
              </w:rPr>
              <w:t xml:space="preserve">) </w:t>
            </w:r>
            <w:r>
              <w:rPr>
                <w:rFonts w:eastAsia="Times New Roman" w:cs="Arial"/>
                <w:b/>
                <w:bCs/>
                <w:i/>
                <w:iCs/>
                <w:color w:val="000000"/>
                <w:sz w:val="18"/>
                <w:szCs w:val="18"/>
                <w:lang w:eastAsia="nl-NL"/>
              </w:rPr>
              <w:t>schriftelijk</w:t>
            </w:r>
            <w:r w:rsidRPr="00644610">
              <w:rPr>
                <w:rFonts w:eastAsia="Times New Roman" w:cs="Arial"/>
                <w:b/>
                <w:bCs/>
                <w:i/>
                <w:iCs/>
                <w:color w:val="000000"/>
                <w:sz w:val="18"/>
                <w:szCs w:val="18"/>
                <w:lang w:eastAsia="nl-NL"/>
              </w:rPr>
              <w:t>:</w:t>
            </w:r>
            <w:r w:rsidRPr="00644610">
              <w:rPr>
                <w:rFonts w:eastAsia="Times New Roman" w:cs="Arial"/>
                <w:color w:val="000000"/>
                <w:sz w:val="18"/>
                <w:szCs w:val="18"/>
                <w:lang w:eastAsia="nl-NL"/>
              </w:rPr>
              <w:t xml:space="preserve"> </w:t>
            </w:r>
            <w:r>
              <w:rPr>
                <w:rFonts w:eastAsia="Times New Roman" w:cs="Arial"/>
                <w:color w:val="000000"/>
                <w:sz w:val="18"/>
                <w:szCs w:val="18"/>
                <w:lang w:eastAsia="nl-NL"/>
              </w:rPr>
              <w:t>per post, per fax, per e-mail of via enig ander gangbaar communicatiemiddel waarmee het mogelijk is tekst over te brengen;</w:t>
            </w:r>
          </w:p>
        </w:tc>
        <w:tc>
          <w:tcPr>
            <w:tcW w:w="3687" w:type="dxa"/>
            <w:tcBorders>
              <w:top w:val="nil"/>
              <w:left w:val="nil"/>
              <w:bottom w:val="single" w:sz="4" w:space="0" w:color="auto"/>
              <w:right w:val="single" w:sz="4" w:space="0" w:color="auto"/>
            </w:tcBorders>
            <w:shd w:val="clear" w:color="auto" w:fill="auto"/>
            <w:tcMar>
              <w:top w:w="113" w:type="dxa"/>
              <w:bottom w:w="170" w:type="dxa"/>
            </w:tcMar>
          </w:tcPr>
          <w:p w:rsidR="003C53B1" w:rsidRPr="00180710" w:rsidRDefault="003C53B1" w:rsidP="003C53B1">
            <w:pPr>
              <w:spacing w:line="240" w:lineRule="auto"/>
              <w:rPr>
                <w:rFonts w:eastAsia="Times New Roman" w:cs="Arial"/>
                <w:color w:val="000000"/>
                <w:sz w:val="18"/>
                <w:szCs w:val="18"/>
                <w:lang w:eastAsia="nl-NL"/>
              </w:rPr>
            </w:pPr>
            <w:r w:rsidRPr="00180710">
              <w:rPr>
                <w:rFonts w:eastAsia="Times New Roman" w:cs="Arial"/>
                <w:color w:val="000000"/>
                <w:sz w:val="18"/>
                <w:szCs w:val="18"/>
                <w:lang w:eastAsia="nl-NL"/>
              </w:rPr>
              <w:t>De huidige definitie van "schriftelijk" ziet op het te gebruiken communicatiemiddel. Omdat "schriftelijk" in de reglementen wordt gebruikt in de betekenis van "op schrift gesteld" is de definitie geschrapt.</w:t>
            </w:r>
          </w:p>
        </w:tc>
        <w:tc>
          <w:tcPr>
            <w:tcW w:w="3687" w:type="dxa"/>
            <w:tcBorders>
              <w:top w:val="nil"/>
              <w:left w:val="nil"/>
              <w:bottom w:val="single" w:sz="4" w:space="0" w:color="auto"/>
              <w:right w:val="single" w:sz="4" w:space="0" w:color="auto"/>
            </w:tcBorders>
          </w:tcPr>
          <w:p w:rsidR="003C53B1" w:rsidRPr="00644610" w:rsidRDefault="003C53B1" w:rsidP="003C53B1">
            <w:pPr>
              <w:spacing w:line="240" w:lineRule="auto"/>
              <w:rPr>
                <w:rFonts w:eastAsia="Times New Roman" w:cs="Arial"/>
                <w:color w:val="000000"/>
                <w:sz w:val="18"/>
                <w:szCs w:val="18"/>
                <w:lang w:eastAsia="nl-NL"/>
              </w:rPr>
            </w:pPr>
            <w:r>
              <w:rPr>
                <w:rFonts w:eastAsia="Times New Roman" w:cs="Arial"/>
                <w:color w:val="000000"/>
                <w:sz w:val="18"/>
                <w:szCs w:val="18"/>
                <w:lang w:eastAsia="nl-NL"/>
              </w:rPr>
              <w:t>-</w:t>
            </w:r>
          </w:p>
        </w:tc>
        <w:tc>
          <w:tcPr>
            <w:tcW w:w="3687" w:type="dxa"/>
            <w:tcBorders>
              <w:top w:val="nil"/>
              <w:left w:val="nil"/>
              <w:bottom w:val="single" w:sz="4" w:space="0" w:color="auto"/>
              <w:right w:val="single" w:sz="4" w:space="0" w:color="auto"/>
            </w:tcBorders>
          </w:tcPr>
          <w:p w:rsidR="003C53B1" w:rsidRPr="00644610" w:rsidRDefault="003C53B1" w:rsidP="003C53B1">
            <w:pPr>
              <w:spacing w:line="240" w:lineRule="auto"/>
              <w:rPr>
                <w:rFonts w:eastAsia="Times New Roman" w:cs="Arial"/>
                <w:color w:val="000000"/>
                <w:sz w:val="18"/>
                <w:szCs w:val="18"/>
                <w:lang w:eastAsia="nl-NL"/>
              </w:rPr>
            </w:pPr>
          </w:p>
        </w:tc>
      </w:tr>
      <w:tr w:rsidR="003C53B1" w:rsidRPr="00AB0938" w:rsidTr="00F9058B">
        <w:tc>
          <w:tcPr>
            <w:tcW w:w="3686" w:type="dxa"/>
            <w:tcBorders>
              <w:top w:val="nil"/>
              <w:left w:val="single" w:sz="4" w:space="0" w:color="auto"/>
              <w:bottom w:val="single" w:sz="4" w:space="0" w:color="auto"/>
              <w:right w:val="single" w:sz="4" w:space="0" w:color="auto"/>
            </w:tcBorders>
            <w:shd w:val="clear" w:color="auto" w:fill="auto"/>
            <w:tcMar>
              <w:top w:w="113" w:type="dxa"/>
              <w:bottom w:w="170" w:type="dxa"/>
            </w:tcMar>
            <w:hideMark/>
          </w:tcPr>
          <w:p w:rsidR="003C53B1" w:rsidRPr="00644610" w:rsidRDefault="003C53B1" w:rsidP="003C53B1">
            <w:pPr>
              <w:spacing w:line="240" w:lineRule="auto"/>
              <w:rPr>
                <w:rFonts w:eastAsia="Times New Roman" w:cs="Arial"/>
                <w:color w:val="000000"/>
                <w:sz w:val="18"/>
                <w:szCs w:val="18"/>
                <w:lang w:eastAsia="nl-NL"/>
              </w:rPr>
            </w:pPr>
            <w:r>
              <w:rPr>
                <w:rFonts w:eastAsia="Times New Roman" w:cs="Arial"/>
                <w:color w:val="000000"/>
                <w:sz w:val="18"/>
                <w:szCs w:val="18"/>
                <w:lang w:eastAsia="nl-NL"/>
              </w:rPr>
              <w:t>-</w:t>
            </w:r>
          </w:p>
        </w:tc>
        <w:tc>
          <w:tcPr>
            <w:tcW w:w="3687" w:type="dxa"/>
            <w:tcBorders>
              <w:top w:val="nil"/>
              <w:left w:val="nil"/>
              <w:bottom w:val="single" w:sz="4" w:space="0" w:color="auto"/>
              <w:right w:val="single" w:sz="4" w:space="0" w:color="auto"/>
            </w:tcBorders>
            <w:shd w:val="clear" w:color="auto" w:fill="auto"/>
            <w:tcMar>
              <w:top w:w="113" w:type="dxa"/>
              <w:bottom w:w="170" w:type="dxa"/>
            </w:tcMar>
            <w:hideMark/>
          </w:tcPr>
          <w:p w:rsidR="003C53B1" w:rsidRPr="00644610" w:rsidRDefault="003C53B1" w:rsidP="003C53B1">
            <w:pPr>
              <w:spacing w:line="240" w:lineRule="auto"/>
              <w:rPr>
                <w:rFonts w:eastAsia="Times New Roman" w:cs="Arial"/>
                <w:color w:val="000000"/>
                <w:sz w:val="18"/>
                <w:szCs w:val="18"/>
                <w:lang w:eastAsia="nl-NL"/>
              </w:rPr>
            </w:pPr>
            <w:r w:rsidRPr="00644610">
              <w:rPr>
                <w:rFonts w:eastAsia="Times New Roman" w:cs="Arial"/>
                <w:color w:val="000000"/>
                <w:sz w:val="18"/>
                <w:szCs w:val="18"/>
                <w:lang w:eastAsia="nl-NL"/>
              </w:rPr>
              <w:t>De definitie van "taxatiebedrijf" is aan de AGB toegevoegd, omdat deze definitie na de toevoeging aan d ontbrak.</w:t>
            </w:r>
          </w:p>
        </w:tc>
        <w:tc>
          <w:tcPr>
            <w:tcW w:w="3687" w:type="dxa"/>
            <w:tcBorders>
              <w:top w:val="nil"/>
              <w:left w:val="nil"/>
              <w:bottom w:val="single" w:sz="4" w:space="0" w:color="auto"/>
              <w:right w:val="single" w:sz="4" w:space="0" w:color="auto"/>
            </w:tcBorders>
          </w:tcPr>
          <w:p w:rsidR="003C53B1" w:rsidRDefault="003C53B1" w:rsidP="003C53B1">
            <w:pPr>
              <w:spacing w:line="240" w:lineRule="auto"/>
              <w:rPr>
                <w:rFonts w:eastAsia="Times New Roman" w:cs="Arial"/>
                <w:bCs/>
                <w:color w:val="000000"/>
                <w:sz w:val="18"/>
                <w:szCs w:val="18"/>
                <w:lang w:eastAsia="nl-NL"/>
              </w:rPr>
            </w:pPr>
            <w:r>
              <w:rPr>
                <w:rFonts w:eastAsia="Times New Roman" w:cs="Arial"/>
                <w:bCs/>
                <w:color w:val="000000"/>
                <w:sz w:val="18"/>
                <w:szCs w:val="18"/>
                <w:lang w:eastAsia="nl-NL"/>
              </w:rPr>
              <w:t>Artikel 1</w:t>
            </w:r>
          </w:p>
          <w:p w:rsidR="003C53B1" w:rsidRPr="00644610" w:rsidRDefault="003C53B1" w:rsidP="003C53B1">
            <w:pPr>
              <w:spacing w:line="240" w:lineRule="auto"/>
              <w:rPr>
                <w:rFonts w:eastAsia="Times New Roman" w:cs="Arial"/>
                <w:color w:val="000000"/>
                <w:sz w:val="18"/>
                <w:szCs w:val="18"/>
                <w:lang w:eastAsia="nl-NL"/>
              </w:rPr>
            </w:pPr>
            <w:r>
              <w:rPr>
                <w:rFonts w:eastAsia="Times New Roman" w:cs="Arial"/>
                <w:b/>
                <w:color w:val="000000"/>
                <w:sz w:val="18"/>
                <w:szCs w:val="18"/>
                <w:lang w:eastAsia="nl-NL"/>
              </w:rPr>
              <w:t xml:space="preserve">(j) </w:t>
            </w:r>
            <w:r w:rsidRPr="00D7201F">
              <w:rPr>
                <w:rFonts w:eastAsia="Times New Roman" w:cs="Arial"/>
                <w:b/>
                <w:i/>
                <w:color w:val="000000"/>
                <w:sz w:val="18"/>
                <w:szCs w:val="18"/>
                <w:lang w:eastAsia="nl-NL"/>
              </w:rPr>
              <w:t>taxatiebedrijf</w:t>
            </w:r>
            <w:r w:rsidRPr="004B13B7">
              <w:rPr>
                <w:rFonts w:eastAsia="Times New Roman" w:cs="Arial"/>
                <w:color w:val="000000"/>
                <w:sz w:val="18"/>
                <w:szCs w:val="18"/>
                <w:lang w:eastAsia="nl-NL"/>
              </w:rPr>
              <w:t>: de entiteit, daaronder begrepen interne taxatieafdelingen, waarbij de geregistreerde taxateur werkzaam is of waaraan hij is verbonden en waarbinnen één of meer taxateurs professionele taxatiediensten verrichten;</w:t>
            </w:r>
          </w:p>
        </w:tc>
        <w:tc>
          <w:tcPr>
            <w:tcW w:w="3687" w:type="dxa"/>
            <w:tcBorders>
              <w:top w:val="nil"/>
              <w:left w:val="nil"/>
              <w:bottom w:val="single" w:sz="4" w:space="0" w:color="auto"/>
              <w:right w:val="single" w:sz="4" w:space="0" w:color="auto"/>
            </w:tcBorders>
          </w:tcPr>
          <w:p w:rsidR="003C53B1" w:rsidRPr="00644610" w:rsidRDefault="003C53B1" w:rsidP="003C53B1">
            <w:pPr>
              <w:spacing w:line="240" w:lineRule="auto"/>
              <w:rPr>
                <w:rFonts w:eastAsia="Times New Roman" w:cs="Arial"/>
                <w:color w:val="000000"/>
                <w:sz w:val="18"/>
                <w:szCs w:val="18"/>
                <w:lang w:eastAsia="nl-NL"/>
              </w:rPr>
            </w:pPr>
          </w:p>
        </w:tc>
      </w:tr>
      <w:tr w:rsidR="003C53B1" w:rsidRPr="00AB0938" w:rsidTr="00F9058B">
        <w:trPr>
          <w:cantSplit/>
        </w:trPr>
        <w:tc>
          <w:tcPr>
            <w:tcW w:w="3686" w:type="dxa"/>
            <w:tcBorders>
              <w:top w:val="nil"/>
              <w:left w:val="single" w:sz="4" w:space="0" w:color="auto"/>
              <w:bottom w:val="single" w:sz="4" w:space="0" w:color="auto"/>
              <w:right w:val="single" w:sz="4" w:space="0" w:color="auto"/>
            </w:tcBorders>
            <w:shd w:val="clear" w:color="auto" w:fill="auto"/>
            <w:tcMar>
              <w:top w:w="113" w:type="dxa"/>
              <w:bottom w:w="170" w:type="dxa"/>
            </w:tcMar>
            <w:hideMark/>
          </w:tcPr>
          <w:p w:rsidR="003C53B1" w:rsidRPr="00CE2B74" w:rsidRDefault="003C53B1" w:rsidP="003C53B1">
            <w:pPr>
              <w:spacing w:line="240" w:lineRule="auto"/>
              <w:rPr>
                <w:rFonts w:eastAsia="Times New Roman" w:cs="Arial"/>
                <w:b/>
                <w:color w:val="000000"/>
                <w:sz w:val="18"/>
                <w:szCs w:val="18"/>
                <w:lang w:eastAsia="nl-NL"/>
              </w:rPr>
            </w:pPr>
            <w:r>
              <w:rPr>
                <w:rFonts w:eastAsia="Times New Roman" w:cs="Arial"/>
                <w:b/>
                <w:color w:val="000000"/>
                <w:sz w:val="18"/>
                <w:szCs w:val="18"/>
                <w:lang w:eastAsia="nl-NL"/>
              </w:rPr>
              <w:lastRenderedPageBreak/>
              <w:t>Artikel 14</w:t>
            </w:r>
          </w:p>
          <w:p w:rsidR="003C53B1" w:rsidRPr="00CE2B74" w:rsidRDefault="003C53B1" w:rsidP="003C53B1">
            <w:pPr>
              <w:spacing w:line="240" w:lineRule="auto"/>
              <w:rPr>
                <w:rFonts w:eastAsia="Times New Roman" w:cs="Arial"/>
                <w:color w:val="000000"/>
                <w:sz w:val="18"/>
                <w:szCs w:val="18"/>
                <w:lang w:eastAsia="nl-NL"/>
              </w:rPr>
            </w:pPr>
            <w:r w:rsidRPr="00CE2B74">
              <w:rPr>
                <w:rFonts w:eastAsia="Times New Roman" w:cs="Arial"/>
                <w:color w:val="000000"/>
                <w:sz w:val="18"/>
                <w:szCs w:val="18"/>
                <w:lang w:eastAsia="nl-NL"/>
              </w:rPr>
              <w:t>Indien de geregistreerde taxateur betrokken is bij of in verband wordt gebracht met informatie die relevant is voor de professionele taxatiedienst waarvan hij redelijkerwijs weet of vermoedt dat die informatie onjuist, onvolledig of misleidend is:</w:t>
            </w:r>
          </w:p>
          <w:p w:rsidR="003C53B1" w:rsidRDefault="003C53B1" w:rsidP="003C53B1">
            <w:pPr>
              <w:pStyle w:val="Lijstalinea"/>
              <w:numPr>
                <w:ilvl w:val="0"/>
                <w:numId w:val="6"/>
              </w:numPr>
              <w:spacing w:line="240" w:lineRule="auto"/>
              <w:ind w:left="227" w:hanging="227"/>
              <w:rPr>
                <w:rFonts w:eastAsia="Times New Roman" w:cs="Arial"/>
                <w:color w:val="000000"/>
                <w:sz w:val="18"/>
                <w:szCs w:val="18"/>
                <w:lang w:eastAsia="nl-NL"/>
              </w:rPr>
            </w:pPr>
            <w:r w:rsidRPr="0065528C">
              <w:rPr>
                <w:rFonts w:eastAsia="Times New Roman" w:cs="Arial"/>
                <w:color w:val="000000"/>
                <w:sz w:val="18"/>
                <w:szCs w:val="18"/>
                <w:lang w:eastAsia="nl-NL"/>
              </w:rPr>
              <w:t>neemt hij een maatregel gericht op het wegnemen van de onjuistheid, onvolledigheid of misleiding; of</w:t>
            </w:r>
          </w:p>
          <w:p w:rsidR="003C53B1" w:rsidRPr="008C06E6" w:rsidRDefault="003C53B1" w:rsidP="003C53B1">
            <w:pPr>
              <w:pStyle w:val="Lijstalinea"/>
              <w:numPr>
                <w:ilvl w:val="0"/>
                <w:numId w:val="6"/>
              </w:numPr>
              <w:spacing w:line="240" w:lineRule="auto"/>
              <w:ind w:left="227" w:hanging="227"/>
              <w:rPr>
                <w:rFonts w:eastAsia="Times New Roman" w:cs="Arial"/>
                <w:color w:val="000000"/>
                <w:sz w:val="18"/>
                <w:szCs w:val="18"/>
                <w:lang w:eastAsia="nl-NL"/>
              </w:rPr>
            </w:pPr>
            <w:r w:rsidRPr="008C06E6">
              <w:rPr>
                <w:rFonts w:eastAsia="Times New Roman" w:cs="Arial"/>
                <w:color w:val="000000"/>
                <w:sz w:val="18"/>
                <w:szCs w:val="18"/>
                <w:lang w:eastAsia="nl-NL"/>
              </w:rPr>
              <w:t>geeft hij de taxatieopdracht terug en distantieert hij zich van de informatie. Daarbij maakt hij het voor de beoogde gebruikers en aan het NRVT kenbaar dat de informatie onjuist, onvolledig of misleidend is.</w:t>
            </w:r>
          </w:p>
        </w:tc>
        <w:tc>
          <w:tcPr>
            <w:tcW w:w="3687" w:type="dxa"/>
            <w:tcBorders>
              <w:top w:val="nil"/>
              <w:left w:val="nil"/>
              <w:bottom w:val="single" w:sz="4" w:space="0" w:color="auto"/>
              <w:right w:val="single" w:sz="4" w:space="0" w:color="auto"/>
            </w:tcBorders>
            <w:shd w:val="clear" w:color="auto" w:fill="auto"/>
            <w:tcMar>
              <w:top w:w="113" w:type="dxa"/>
              <w:bottom w:w="170" w:type="dxa"/>
            </w:tcMar>
            <w:hideMark/>
          </w:tcPr>
          <w:p w:rsidR="003C53B1" w:rsidRPr="00644610" w:rsidRDefault="003C53B1" w:rsidP="003C53B1">
            <w:pPr>
              <w:spacing w:line="240" w:lineRule="auto"/>
              <w:rPr>
                <w:rFonts w:eastAsia="Times New Roman" w:cs="Arial"/>
                <w:color w:val="000000"/>
                <w:sz w:val="18"/>
                <w:szCs w:val="18"/>
                <w:lang w:eastAsia="nl-NL"/>
              </w:rPr>
            </w:pPr>
            <w:r w:rsidRPr="00644610">
              <w:rPr>
                <w:rFonts w:eastAsia="Times New Roman" w:cs="Arial"/>
                <w:color w:val="000000"/>
                <w:sz w:val="18"/>
                <w:szCs w:val="18"/>
                <w:lang w:eastAsia="nl-NL"/>
              </w:rPr>
              <w:t>De laatste zin</w:t>
            </w:r>
            <w:r>
              <w:rPr>
                <w:rFonts w:eastAsia="Times New Roman" w:cs="Arial"/>
                <w:color w:val="000000"/>
                <w:sz w:val="18"/>
                <w:szCs w:val="18"/>
                <w:lang w:eastAsia="nl-NL"/>
              </w:rPr>
              <w:t xml:space="preserve"> van art. 14 sub b is geschrapt, omdat het i</w:t>
            </w:r>
            <w:r w:rsidRPr="00644610">
              <w:rPr>
                <w:rFonts w:eastAsia="Times New Roman" w:cs="Arial"/>
                <w:color w:val="000000"/>
                <w:sz w:val="18"/>
                <w:szCs w:val="18"/>
                <w:lang w:eastAsia="nl-NL"/>
              </w:rPr>
              <w:t>n de praktijk niet voor</w:t>
            </w:r>
            <w:r>
              <w:rPr>
                <w:rFonts w:eastAsia="Times New Roman" w:cs="Arial"/>
                <w:color w:val="000000"/>
                <w:sz w:val="18"/>
                <w:szCs w:val="18"/>
                <w:lang w:eastAsia="nl-NL"/>
              </w:rPr>
              <w:t>komt</w:t>
            </w:r>
            <w:r w:rsidRPr="00644610">
              <w:rPr>
                <w:rFonts w:eastAsia="Times New Roman" w:cs="Arial"/>
                <w:color w:val="000000"/>
                <w:sz w:val="18"/>
                <w:szCs w:val="18"/>
                <w:lang w:eastAsia="nl-NL"/>
              </w:rPr>
              <w:t xml:space="preserve"> dat een geregistreerde taxateur dit doorgeeft.</w:t>
            </w:r>
          </w:p>
        </w:tc>
        <w:tc>
          <w:tcPr>
            <w:tcW w:w="3687" w:type="dxa"/>
            <w:tcBorders>
              <w:top w:val="nil"/>
              <w:left w:val="nil"/>
              <w:bottom w:val="single" w:sz="4" w:space="0" w:color="auto"/>
              <w:right w:val="single" w:sz="4" w:space="0" w:color="auto"/>
            </w:tcBorders>
          </w:tcPr>
          <w:p w:rsidR="003C53B1" w:rsidRPr="00CE2B74" w:rsidRDefault="003C53B1" w:rsidP="003C53B1">
            <w:pPr>
              <w:spacing w:line="240" w:lineRule="auto"/>
              <w:rPr>
                <w:rFonts w:eastAsia="Times New Roman" w:cs="Arial"/>
                <w:b/>
                <w:color w:val="000000"/>
                <w:sz w:val="18"/>
                <w:szCs w:val="18"/>
                <w:lang w:eastAsia="nl-NL"/>
              </w:rPr>
            </w:pPr>
            <w:r>
              <w:rPr>
                <w:rFonts w:eastAsia="Times New Roman" w:cs="Arial"/>
                <w:b/>
                <w:color w:val="000000"/>
                <w:sz w:val="18"/>
                <w:szCs w:val="18"/>
                <w:lang w:eastAsia="nl-NL"/>
              </w:rPr>
              <w:t>Artikel 14</w:t>
            </w:r>
          </w:p>
          <w:p w:rsidR="003C53B1" w:rsidRPr="00CE2B74" w:rsidRDefault="003C53B1" w:rsidP="003C53B1">
            <w:pPr>
              <w:spacing w:line="240" w:lineRule="auto"/>
              <w:rPr>
                <w:rFonts w:eastAsia="Times New Roman" w:cs="Arial"/>
                <w:color w:val="000000"/>
                <w:sz w:val="18"/>
                <w:szCs w:val="18"/>
                <w:lang w:eastAsia="nl-NL"/>
              </w:rPr>
            </w:pPr>
            <w:r w:rsidRPr="00CE2B74">
              <w:rPr>
                <w:rFonts w:eastAsia="Times New Roman" w:cs="Arial"/>
                <w:color w:val="000000"/>
                <w:sz w:val="18"/>
                <w:szCs w:val="18"/>
                <w:lang w:eastAsia="nl-NL"/>
              </w:rPr>
              <w:t>Indien de geregistreerde taxateur betrokken is bij of in verband wordt gebracht met informatie die relevant is voor de professionele taxatiedienst waarvan hij redelijkerwijs weet of vermoedt dat die informatie onjuist, onvolledig of misleidend is:</w:t>
            </w:r>
          </w:p>
          <w:p w:rsidR="003C53B1" w:rsidRDefault="003C53B1" w:rsidP="003C53B1">
            <w:pPr>
              <w:pStyle w:val="Lijstalinea"/>
              <w:numPr>
                <w:ilvl w:val="0"/>
                <w:numId w:val="7"/>
              </w:numPr>
              <w:spacing w:line="240" w:lineRule="auto"/>
              <w:ind w:left="300" w:hanging="283"/>
              <w:rPr>
                <w:rFonts w:eastAsia="Times New Roman" w:cs="Arial"/>
                <w:color w:val="000000"/>
                <w:sz w:val="18"/>
                <w:szCs w:val="18"/>
                <w:lang w:eastAsia="nl-NL"/>
              </w:rPr>
            </w:pPr>
            <w:r w:rsidRPr="003F4B6E">
              <w:rPr>
                <w:rFonts w:eastAsia="Times New Roman" w:cs="Arial"/>
                <w:color w:val="000000"/>
                <w:sz w:val="18"/>
                <w:szCs w:val="18"/>
                <w:lang w:eastAsia="nl-NL"/>
              </w:rPr>
              <w:t>neemt hij een maatregel gericht op het wegnemen van de onjuistheid, onvolledigheid of misleiding; of</w:t>
            </w:r>
          </w:p>
          <w:p w:rsidR="003C53B1" w:rsidRPr="003F4B6E" w:rsidRDefault="003C53B1" w:rsidP="003C53B1">
            <w:pPr>
              <w:pStyle w:val="Lijstalinea"/>
              <w:numPr>
                <w:ilvl w:val="0"/>
                <w:numId w:val="7"/>
              </w:numPr>
              <w:spacing w:line="240" w:lineRule="auto"/>
              <w:ind w:left="300" w:hanging="283"/>
              <w:rPr>
                <w:rFonts w:eastAsia="Times New Roman" w:cs="Arial"/>
                <w:color w:val="000000"/>
                <w:sz w:val="18"/>
                <w:szCs w:val="18"/>
                <w:lang w:eastAsia="nl-NL"/>
              </w:rPr>
            </w:pPr>
            <w:r w:rsidRPr="003F4B6E">
              <w:rPr>
                <w:rFonts w:eastAsia="Times New Roman" w:cs="Arial"/>
                <w:color w:val="000000"/>
                <w:sz w:val="18"/>
                <w:szCs w:val="18"/>
                <w:lang w:eastAsia="nl-NL"/>
              </w:rPr>
              <w:t>geeft hij de taxatieopdracht terug en distantieert hij zich van de informatie.</w:t>
            </w:r>
          </w:p>
        </w:tc>
        <w:tc>
          <w:tcPr>
            <w:tcW w:w="3687" w:type="dxa"/>
            <w:tcBorders>
              <w:top w:val="nil"/>
              <w:left w:val="nil"/>
              <w:bottom w:val="single" w:sz="4" w:space="0" w:color="auto"/>
              <w:right w:val="single" w:sz="4" w:space="0" w:color="auto"/>
            </w:tcBorders>
          </w:tcPr>
          <w:p w:rsidR="003C53B1" w:rsidRPr="00644610" w:rsidRDefault="003C53B1" w:rsidP="003C53B1">
            <w:pPr>
              <w:spacing w:line="240" w:lineRule="auto"/>
              <w:rPr>
                <w:rFonts w:eastAsia="Times New Roman" w:cs="Arial"/>
                <w:color w:val="000000"/>
                <w:sz w:val="18"/>
                <w:szCs w:val="18"/>
                <w:lang w:eastAsia="nl-NL"/>
              </w:rPr>
            </w:pPr>
          </w:p>
        </w:tc>
      </w:tr>
      <w:tr w:rsidR="003C53B1" w:rsidRPr="00AB0938" w:rsidTr="00F9058B">
        <w:tc>
          <w:tcPr>
            <w:tcW w:w="3686" w:type="dxa"/>
            <w:tcBorders>
              <w:top w:val="nil"/>
              <w:left w:val="single" w:sz="4" w:space="0" w:color="auto"/>
              <w:bottom w:val="single" w:sz="4" w:space="0" w:color="auto"/>
              <w:right w:val="single" w:sz="4" w:space="0" w:color="auto"/>
            </w:tcBorders>
            <w:shd w:val="clear" w:color="auto" w:fill="auto"/>
            <w:tcMar>
              <w:top w:w="113" w:type="dxa"/>
              <w:bottom w:w="170" w:type="dxa"/>
            </w:tcMar>
          </w:tcPr>
          <w:p w:rsidR="003C53B1" w:rsidRDefault="003C53B1" w:rsidP="003C53B1">
            <w:pPr>
              <w:spacing w:line="240" w:lineRule="auto"/>
              <w:rPr>
                <w:rFonts w:eastAsia="Times New Roman" w:cs="Arial"/>
                <w:b/>
                <w:color w:val="000000"/>
                <w:sz w:val="18"/>
                <w:szCs w:val="18"/>
                <w:lang w:eastAsia="nl-NL"/>
              </w:rPr>
            </w:pPr>
            <w:r>
              <w:rPr>
                <w:rFonts w:eastAsia="Times New Roman" w:cs="Arial"/>
                <w:b/>
                <w:color w:val="000000"/>
                <w:sz w:val="18"/>
                <w:szCs w:val="18"/>
                <w:lang w:eastAsia="nl-NL"/>
              </w:rPr>
              <w:t>Artikel 16</w:t>
            </w:r>
          </w:p>
          <w:p w:rsidR="003C53B1" w:rsidRPr="008C06E6" w:rsidRDefault="003C53B1" w:rsidP="003C53B1">
            <w:pPr>
              <w:spacing w:line="240" w:lineRule="auto"/>
              <w:rPr>
                <w:rFonts w:eastAsia="Times New Roman" w:cs="Arial"/>
                <w:color w:val="000000"/>
                <w:sz w:val="18"/>
                <w:szCs w:val="18"/>
                <w:lang w:eastAsia="nl-NL"/>
              </w:rPr>
            </w:pPr>
            <w:r w:rsidRPr="008C06E6">
              <w:rPr>
                <w:rFonts w:eastAsia="Times New Roman" w:cs="Arial"/>
                <w:color w:val="000000"/>
                <w:sz w:val="18"/>
                <w:szCs w:val="18"/>
                <w:lang w:eastAsia="nl-NL"/>
              </w:rPr>
              <w:t xml:space="preserve">De geregistreerde taxateur laat zich bij zijn afwegingen ten aanzien van de professionele taxatiedienst niet </w:t>
            </w:r>
            <w:r>
              <w:rPr>
                <w:rFonts w:eastAsia="Times New Roman" w:cs="Arial"/>
                <w:color w:val="000000"/>
                <w:sz w:val="18"/>
                <w:szCs w:val="18"/>
                <w:lang w:eastAsia="nl-NL"/>
              </w:rPr>
              <w:t xml:space="preserve">ongepast </w:t>
            </w:r>
            <w:r w:rsidRPr="008C06E6">
              <w:rPr>
                <w:rFonts w:eastAsia="Times New Roman" w:cs="Arial"/>
                <w:color w:val="000000"/>
                <w:sz w:val="18"/>
                <w:szCs w:val="18"/>
                <w:lang w:eastAsia="nl-NL"/>
              </w:rPr>
              <w:t>beïnvloeden waardoor de objectiviteit en onafhankelijkheid van de professionele taxatiedienst in gevaar komt. Objectiviteit en onafhankelijkheid zijn vereist in wezen en in schijn. Daaronder dient in ieder geval te worden verstaan dat:</w:t>
            </w:r>
          </w:p>
          <w:p w:rsidR="003C53B1" w:rsidRDefault="003C53B1" w:rsidP="003C53B1">
            <w:pPr>
              <w:numPr>
                <w:ilvl w:val="0"/>
                <w:numId w:val="5"/>
              </w:numPr>
              <w:tabs>
                <w:tab w:val="clear" w:pos="1702"/>
              </w:tabs>
              <w:spacing w:line="240" w:lineRule="auto"/>
              <w:ind w:left="227" w:hanging="227"/>
              <w:rPr>
                <w:rFonts w:eastAsia="Times New Roman" w:cs="Arial"/>
                <w:color w:val="000000"/>
                <w:sz w:val="18"/>
                <w:szCs w:val="18"/>
                <w:lang w:eastAsia="nl-NL"/>
              </w:rPr>
            </w:pPr>
            <w:r w:rsidRPr="008C06E6">
              <w:rPr>
                <w:rFonts w:eastAsia="Times New Roman" w:cs="Arial"/>
                <w:color w:val="000000"/>
                <w:sz w:val="18"/>
                <w:szCs w:val="18"/>
                <w:lang w:eastAsia="nl-NL"/>
              </w:rPr>
              <w:t>de geregistreerde taxateur een taxatieopdracht alleen mag aanvaarden als hij autonoom, uitsluitend als eigen afweging in vrijheid, zonder beïnvloeding of druk, tot een schatting van de waarde kan komen;</w:t>
            </w:r>
          </w:p>
          <w:p w:rsidR="003C53B1" w:rsidRDefault="003C53B1" w:rsidP="003C53B1">
            <w:pPr>
              <w:numPr>
                <w:ilvl w:val="0"/>
                <w:numId w:val="5"/>
              </w:numPr>
              <w:tabs>
                <w:tab w:val="clear" w:pos="1702"/>
              </w:tabs>
              <w:spacing w:line="240" w:lineRule="auto"/>
              <w:ind w:left="227" w:hanging="227"/>
              <w:rPr>
                <w:rFonts w:eastAsia="Times New Roman" w:cs="Arial"/>
                <w:color w:val="000000"/>
                <w:sz w:val="18"/>
                <w:szCs w:val="18"/>
                <w:lang w:eastAsia="nl-NL"/>
              </w:rPr>
            </w:pPr>
            <w:r w:rsidRPr="008C06E6">
              <w:rPr>
                <w:rFonts w:eastAsia="Times New Roman" w:cs="Arial"/>
                <w:color w:val="000000"/>
                <w:sz w:val="18"/>
                <w:szCs w:val="18"/>
                <w:lang w:eastAsia="nl-NL"/>
              </w:rPr>
              <w:t>waarbij die vrijheid niet ontoelaatbaar mag worden ingeperkt vanuit een (eerdere, huidige of aanstaande) betrokkenheid bij het vastgoedobject of bij de opdrachtgever of bij de werkgever;</w:t>
            </w:r>
          </w:p>
          <w:p w:rsidR="003C53B1" w:rsidRDefault="003C53B1" w:rsidP="003C53B1">
            <w:pPr>
              <w:numPr>
                <w:ilvl w:val="0"/>
                <w:numId w:val="5"/>
              </w:numPr>
              <w:tabs>
                <w:tab w:val="clear" w:pos="1702"/>
              </w:tabs>
              <w:spacing w:line="240" w:lineRule="auto"/>
              <w:ind w:left="227" w:hanging="227"/>
              <w:rPr>
                <w:rFonts w:eastAsia="Times New Roman" w:cs="Arial"/>
                <w:color w:val="000000"/>
                <w:sz w:val="18"/>
                <w:szCs w:val="18"/>
                <w:lang w:eastAsia="nl-NL"/>
              </w:rPr>
            </w:pPr>
            <w:r w:rsidRPr="008C06E6">
              <w:rPr>
                <w:rFonts w:eastAsia="Times New Roman" w:cs="Arial"/>
                <w:color w:val="000000"/>
                <w:sz w:val="18"/>
                <w:szCs w:val="18"/>
                <w:lang w:eastAsia="nl-NL"/>
              </w:rPr>
              <w:lastRenderedPageBreak/>
              <w:t>welke ontoelaatbare betrokkenheid niet alleen van de kant van de geregistreerde taxateur maar ook van de kant van collegiale, andersoortige zakelijke en/of persoonlijke relaties van de geregistreerde taxateur kan bestaan;</w:t>
            </w:r>
          </w:p>
          <w:p w:rsidR="003C53B1" w:rsidRPr="00644610" w:rsidRDefault="003C53B1" w:rsidP="003C53B1">
            <w:pPr>
              <w:numPr>
                <w:ilvl w:val="0"/>
                <w:numId w:val="5"/>
              </w:numPr>
              <w:tabs>
                <w:tab w:val="clear" w:pos="1702"/>
              </w:tabs>
              <w:spacing w:line="240" w:lineRule="auto"/>
              <w:ind w:left="227" w:hanging="227"/>
              <w:rPr>
                <w:rFonts w:eastAsia="Times New Roman" w:cs="Arial"/>
                <w:color w:val="000000"/>
                <w:sz w:val="18"/>
                <w:szCs w:val="18"/>
                <w:lang w:eastAsia="nl-NL"/>
              </w:rPr>
            </w:pPr>
            <w:r w:rsidRPr="008C06E6">
              <w:rPr>
                <w:rFonts w:eastAsia="Times New Roman" w:cs="Arial"/>
                <w:color w:val="000000"/>
                <w:sz w:val="18"/>
                <w:szCs w:val="18"/>
                <w:lang w:eastAsia="nl-NL"/>
              </w:rPr>
              <w:t>waarbij de geregistreerde taxateur die de professionele taxatiedienst verricht op geen enkele wijze (direct of indirect) betrokken mag zijn bij het te taxeren vastgoedobject voor wat betreft bijvoorbeeld (advisering over) koop, verkoop, bemiddeling, beheer of financiering of enige andere (financiële) dienst, behoudens de twee specifieke uitzonderingen genoemd in de toelichting.</w:t>
            </w:r>
          </w:p>
        </w:tc>
        <w:tc>
          <w:tcPr>
            <w:tcW w:w="3687" w:type="dxa"/>
            <w:tcBorders>
              <w:top w:val="nil"/>
              <w:left w:val="nil"/>
              <w:bottom w:val="single" w:sz="4" w:space="0" w:color="auto"/>
              <w:right w:val="single" w:sz="4" w:space="0" w:color="auto"/>
            </w:tcBorders>
            <w:shd w:val="clear" w:color="auto" w:fill="auto"/>
            <w:tcMar>
              <w:top w:w="113" w:type="dxa"/>
              <w:bottom w:w="170" w:type="dxa"/>
            </w:tcMar>
          </w:tcPr>
          <w:p w:rsidR="003C53B1" w:rsidRDefault="003C53B1" w:rsidP="003C53B1">
            <w:pPr>
              <w:spacing w:line="240" w:lineRule="auto"/>
              <w:rPr>
                <w:rFonts w:eastAsia="Times New Roman" w:cs="Arial"/>
                <w:color w:val="000000"/>
                <w:sz w:val="18"/>
                <w:szCs w:val="18"/>
                <w:lang w:eastAsia="nl-NL"/>
              </w:rPr>
            </w:pPr>
            <w:r>
              <w:rPr>
                <w:rFonts w:eastAsia="Times New Roman" w:cs="Arial"/>
                <w:color w:val="000000"/>
                <w:sz w:val="18"/>
                <w:szCs w:val="18"/>
                <w:lang w:eastAsia="nl-NL"/>
              </w:rPr>
              <w:lastRenderedPageBreak/>
              <w:t>Het woord “ongepast” is verwijderd uit de eerste zin en onder a.</w:t>
            </w:r>
          </w:p>
          <w:p w:rsidR="003C53B1" w:rsidRDefault="003C53B1" w:rsidP="003C53B1">
            <w:pPr>
              <w:spacing w:line="240" w:lineRule="auto"/>
              <w:rPr>
                <w:rFonts w:eastAsia="Times New Roman" w:cs="Arial"/>
                <w:color w:val="000000"/>
                <w:sz w:val="18"/>
                <w:szCs w:val="18"/>
                <w:lang w:eastAsia="nl-NL"/>
              </w:rPr>
            </w:pPr>
          </w:p>
          <w:p w:rsidR="003C53B1" w:rsidRPr="00644610" w:rsidRDefault="003C53B1" w:rsidP="003C53B1">
            <w:pPr>
              <w:spacing w:line="240" w:lineRule="auto"/>
              <w:rPr>
                <w:rFonts w:eastAsia="Times New Roman" w:cs="Arial"/>
                <w:color w:val="000000"/>
                <w:sz w:val="18"/>
                <w:szCs w:val="18"/>
                <w:lang w:eastAsia="nl-NL"/>
              </w:rPr>
            </w:pPr>
            <w:r>
              <w:rPr>
                <w:rFonts w:eastAsia="Times New Roman" w:cs="Arial"/>
                <w:color w:val="000000"/>
                <w:sz w:val="18"/>
                <w:szCs w:val="18"/>
                <w:lang w:eastAsia="nl-NL"/>
              </w:rPr>
              <w:t>Ter verbetering van de leesbaarheid zijn de uitzonderingen bedoeld onder d expliciet in het artikel opgenomen.</w:t>
            </w:r>
          </w:p>
        </w:tc>
        <w:tc>
          <w:tcPr>
            <w:tcW w:w="3687" w:type="dxa"/>
            <w:tcBorders>
              <w:top w:val="nil"/>
              <w:left w:val="nil"/>
              <w:bottom w:val="single" w:sz="4" w:space="0" w:color="auto"/>
              <w:right w:val="single" w:sz="4" w:space="0" w:color="auto"/>
            </w:tcBorders>
          </w:tcPr>
          <w:p w:rsidR="003C53B1" w:rsidRPr="008C06E6" w:rsidRDefault="003C53B1" w:rsidP="003C53B1">
            <w:pPr>
              <w:spacing w:line="240" w:lineRule="auto"/>
              <w:rPr>
                <w:rFonts w:eastAsia="Times New Roman" w:cs="Arial"/>
                <w:b/>
                <w:color w:val="000000"/>
                <w:sz w:val="18"/>
                <w:szCs w:val="18"/>
                <w:lang w:eastAsia="nl-NL"/>
              </w:rPr>
            </w:pPr>
            <w:r w:rsidRPr="008C06E6">
              <w:rPr>
                <w:rFonts w:eastAsia="Times New Roman" w:cs="Arial"/>
                <w:b/>
                <w:color w:val="000000"/>
                <w:sz w:val="18"/>
                <w:szCs w:val="18"/>
                <w:lang w:eastAsia="nl-NL"/>
              </w:rPr>
              <w:t>Art</w:t>
            </w:r>
            <w:r>
              <w:rPr>
                <w:rFonts w:eastAsia="Times New Roman" w:cs="Arial"/>
                <w:b/>
                <w:color w:val="000000"/>
                <w:sz w:val="18"/>
                <w:szCs w:val="18"/>
                <w:lang w:eastAsia="nl-NL"/>
              </w:rPr>
              <w:t>ikel</w:t>
            </w:r>
            <w:r w:rsidRPr="008C06E6">
              <w:rPr>
                <w:rFonts w:eastAsia="Times New Roman" w:cs="Arial"/>
                <w:b/>
                <w:color w:val="000000"/>
                <w:sz w:val="18"/>
                <w:szCs w:val="18"/>
                <w:lang w:eastAsia="nl-NL"/>
              </w:rPr>
              <w:t xml:space="preserve"> 16</w:t>
            </w:r>
          </w:p>
          <w:p w:rsidR="003C53B1" w:rsidRPr="008C06E6" w:rsidRDefault="003C53B1" w:rsidP="003C53B1">
            <w:pPr>
              <w:spacing w:line="240" w:lineRule="auto"/>
              <w:rPr>
                <w:rFonts w:eastAsia="Times New Roman" w:cs="Arial"/>
                <w:color w:val="000000"/>
                <w:sz w:val="18"/>
                <w:szCs w:val="18"/>
                <w:lang w:eastAsia="nl-NL"/>
              </w:rPr>
            </w:pPr>
            <w:r w:rsidRPr="008C06E6">
              <w:rPr>
                <w:rFonts w:eastAsia="Times New Roman" w:cs="Arial"/>
                <w:color w:val="000000"/>
                <w:sz w:val="18"/>
                <w:szCs w:val="18"/>
                <w:lang w:eastAsia="nl-NL"/>
              </w:rPr>
              <w:t>De geregistreerde taxateur laat zich bij zijn afwegingen ten aanzien van de professionele taxatiedienst niet ongepast beïnvloeden waardoor de objectiviteit en onafhankelijkheid van de professionele taxatiedienst in gevaar komt. Objectiviteit en onafhankelijkheid zijn vereist in wezen en in schijn. Daaronder dient in ieder geval te worden verstaan dat:</w:t>
            </w:r>
          </w:p>
          <w:p w:rsidR="003C53B1" w:rsidRPr="008C06E6" w:rsidRDefault="003C53B1" w:rsidP="003C53B1">
            <w:pPr>
              <w:pStyle w:val="Lijstalinea"/>
              <w:numPr>
                <w:ilvl w:val="7"/>
                <w:numId w:val="5"/>
              </w:numPr>
              <w:tabs>
                <w:tab w:val="clear" w:pos="7659"/>
              </w:tabs>
              <w:spacing w:line="240" w:lineRule="auto"/>
              <w:ind w:left="227" w:hanging="227"/>
              <w:rPr>
                <w:rFonts w:eastAsia="Times New Roman" w:cs="Arial"/>
                <w:color w:val="000000"/>
                <w:sz w:val="18"/>
                <w:szCs w:val="18"/>
                <w:lang w:eastAsia="nl-NL"/>
              </w:rPr>
            </w:pPr>
            <w:r w:rsidRPr="008C06E6">
              <w:rPr>
                <w:rFonts w:eastAsia="Times New Roman" w:cs="Arial"/>
                <w:color w:val="000000"/>
                <w:sz w:val="18"/>
                <w:szCs w:val="18"/>
                <w:lang w:eastAsia="nl-NL"/>
              </w:rPr>
              <w:t>de geregistreerde taxateur een taxatieopdracht alleen mag aanvaarden als hij autonoom, uitsluitend als eigen afweging in vrijheid, zonder beïnvloeding of druk, tot een schatting van de waarde kan komen;</w:t>
            </w:r>
          </w:p>
          <w:p w:rsidR="003C53B1" w:rsidRPr="008C06E6" w:rsidRDefault="003C53B1" w:rsidP="003C53B1">
            <w:pPr>
              <w:pStyle w:val="Lijstalinea"/>
              <w:numPr>
                <w:ilvl w:val="7"/>
                <w:numId w:val="5"/>
              </w:numPr>
              <w:tabs>
                <w:tab w:val="clear" w:pos="7659"/>
              </w:tabs>
              <w:spacing w:line="240" w:lineRule="auto"/>
              <w:ind w:left="227" w:hanging="227"/>
              <w:rPr>
                <w:rFonts w:eastAsia="Times New Roman" w:cs="Arial"/>
                <w:color w:val="000000"/>
                <w:sz w:val="18"/>
                <w:szCs w:val="18"/>
                <w:lang w:eastAsia="nl-NL"/>
              </w:rPr>
            </w:pPr>
            <w:r w:rsidRPr="008C06E6">
              <w:rPr>
                <w:rFonts w:eastAsia="Times New Roman" w:cs="Arial"/>
                <w:color w:val="000000"/>
                <w:sz w:val="18"/>
                <w:szCs w:val="18"/>
                <w:lang w:eastAsia="nl-NL"/>
              </w:rPr>
              <w:t>waarbij die vrijheid niet ontoelaatbaar mag worden ingeperkt vanuit een (eerdere, huidige of aanstaande) betrokkenheid bij het vastgoedobject of bij de opdrachtgever of bij de werkgever;</w:t>
            </w:r>
          </w:p>
          <w:p w:rsidR="003C53B1" w:rsidRPr="008C06E6" w:rsidRDefault="003C53B1" w:rsidP="003C53B1">
            <w:pPr>
              <w:spacing w:line="240" w:lineRule="auto"/>
              <w:ind w:left="227" w:hanging="227"/>
              <w:rPr>
                <w:rFonts w:eastAsia="Times New Roman" w:cs="Arial"/>
                <w:color w:val="000000"/>
                <w:sz w:val="18"/>
                <w:szCs w:val="18"/>
                <w:lang w:eastAsia="nl-NL"/>
              </w:rPr>
            </w:pPr>
            <w:r w:rsidRPr="008C06E6">
              <w:rPr>
                <w:rFonts w:eastAsia="Times New Roman" w:cs="Arial"/>
                <w:color w:val="000000"/>
                <w:sz w:val="18"/>
                <w:szCs w:val="18"/>
                <w:lang w:eastAsia="nl-NL"/>
              </w:rPr>
              <w:lastRenderedPageBreak/>
              <w:t>c.</w:t>
            </w:r>
            <w:r w:rsidRPr="008C06E6">
              <w:rPr>
                <w:rFonts w:eastAsia="Times New Roman" w:cs="Arial"/>
                <w:color w:val="000000"/>
                <w:sz w:val="18"/>
                <w:szCs w:val="18"/>
                <w:lang w:eastAsia="nl-NL"/>
              </w:rPr>
              <w:tab/>
              <w:t>welke ontoelaatbare betrokkenheid niet alleen van de kant van de geregistreerde taxateur maar ook van de kant van collegiale, andersoortige zakelijke en/of persoonlijke relaties van de geregistreerde taxateur kan bestaan;</w:t>
            </w:r>
          </w:p>
          <w:p w:rsidR="003C53B1" w:rsidRPr="008C06E6" w:rsidRDefault="003C53B1" w:rsidP="003C53B1">
            <w:pPr>
              <w:spacing w:line="240" w:lineRule="auto"/>
              <w:ind w:left="227" w:hanging="227"/>
              <w:rPr>
                <w:rFonts w:eastAsia="Times New Roman" w:cs="Arial"/>
                <w:color w:val="000000"/>
                <w:sz w:val="18"/>
                <w:szCs w:val="18"/>
                <w:lang w:eastAsia="nl-NL"/>
              </w:rPr>
            </w:pPr>
            <w:r w:rsidRPr="008C06E6">
              <w:rPr>
                <w:rFonts w:eastAsia="Times New Roman" w:cs="Arial"/>
                <w:color w:val="000000"/>
                <w:sz w:val="18"/>
                <w:szCs w:val="18"/>
                <w:lang w:eastAsia="nl-NL"/>
              </w:rPr>
              <w:t>d.</w:t>
            </w:r>
            <w:r w:rsidRPr="008C06E6">
              <w:rPr>
                <w:rFonts w:eastAsia="Times New Roman" w:cs="Arial"/>
                <w:color w:val="000000"/>
                <w:sz w:val="18"/>
                <w:szCs w:val="18"/>
                <w:lang w:eastAsia="nl-NL"/>
              </w:rPr>
              <w:tab/>
              <w:t>waarbij de geregistreerde taxateur die de professionele taxatiedienst verricht op geen en</w:t>
            </w:r>
            <w:r>
              <w:rPr>
                <w:rFonts w:eastAsia="Times New Roman" w:cs="Arial"/>
                <w:color w:val="000000"/>
                <w:sz w:val="18"/>
                <w:szCs w:val="18"/>
                <w:lang w:eastAsia="nl-NL"/>
              </w:rPr>
              <w:t xml:space="preserve">kele wijze (direct of indirect) </w:t>
            </w:r>
            <w:r w:rsidRPr="008C06E6">
              <w:rPr>
                <w:rFonts w:eastAsia="Times New Roman" w:cs="Arial"/>
                <w:color w:val="000000"/>
                <w:sz w:val="18"/>
                <w:szCs w:val="18"/>
                <w:lang w:eastAsia="nl-NL"/>
              </w:rPr>
              <w:t>betrokken mag zijn bij het te taxeren vastgoedobject voor wat betreft bijvoorbeeld (advisering over) koop, verkoop, bemiddeling, beheer of financiering of enige andere (financiële) dienst, behoudens de</w:t>
            </w:r>
            <w:r>
              <w:rPr>
                <w:rFonts w:eastAsia="Times New Roman" w:cs="Arial"/>
                <w:color w:val="000000"/>
                <w:sz w:val="18"/>
                <w:szCs w:val="18"/>
                <w:lang w:eastAsia="nl-NL"/>
              </w:rPr>
              <w:t xml:space="preserve"> volgende </w:t>
            </w:r>
            <w:r w:rsidRPr="008C06E6">
              <w:rPr>
                <w:rFonts w:eastAsia="Times New Roman" w:cs="Arial"/>
                <w:color w:val="000000"/>
                <w:sz w:val="18"/>
                <w:szCs w:val="18"/>
                <w:lang w:eastAsia="nl-NL"/>
              </w:rPr>
              <w:t>twee specifieke uitzonderingen:</w:t>
            </w:r>
          </w:p>
          <w:p w:rsidR="003C53B1" w:rsidRDefault="003C53B1" w:rsidP="003C53B1">
            <w:pPr>
              <w:pStyle w:val="Lijstalinea"/>
              <w:numPr>
                <w:ilvl w:val="0"/>
                <w:numId w:val="8"/>
              </w:numPr>
              <w:spacing w:line="240" w:lineRule="auto"/>
              <w:ind w:left="454" w:hanging="227"/>
              <w:rPr>
                <w:rFonts w:eastAsia="Times New Roman" w:cs="Arial"/>
                <w:color w:val="000000"/>
                <w:sz w:val="18"/>
                <w:szCs w:val="18"/>
                <w:lang w:eastAsia="nl-NL"/>
              </w:rPr>
            </w:pPr>
            <w:r w:rsidRPr="008C06E6">
              <w:rPr>
                <w:rFonts w:eastAsia="Times New Roman" w:cs="Arial"/>
                <w:color w:val="000000"/>
                <w:sz w:val="18"/>
                <w:szCs w:val="18"/>
                <w:lang w:eastAsia="nl-NL"/>
              </w:rPr>
              <w:t>het taxatierapport uitdrukkelijk wordt verschaft ter voorbereiding op, of gedurende (besprekingen in het kader van) gerechtelijke procedures;</w:t>
            </w:r>
          </w:p>
          <w:p w:rsidR="003C53B1" w:rsidRPr="008C06E6" w:rsidRDefault="003C53B1" w:rsidP="003C53B1">
            <w:pPr>
              <w:pStyle w:val="Lijstalinea"/>
              <w:numPr>
                <w:ilvl w:val="0"/>
                <w:numId w:val="8"/>
              </w:numPr>
              <w:spacing w:line="240" w:lineRule="auto"/>
              <w:ind w:left="454" w:hanging="227"/>
              <w:rPr>
                <w:rFonts w:eastAsia="Times New Roman" w:cs="Arial"/>
                <w:color w:val="000000"/>
                <w:sz w:val="18"/>
                <w:szCs w:val="18"/>
                <w:lang w:eastAsia="nl-NL"/>
              </w:rPr>
            </w:pPr>
            <w:r w:rsidRPr="008C06E6">
              <w:rPr>
                <w:rFonts w:eastAsia="Times New Roman" w:cs="Arial"/>
                <w:color w:val="000000"/>
                <w:sz w:val="18"/>
                <w:szCs w:val="18"/>
                <w:lang w:eastAsia="nl-NL"/>
              </w:rPr>
              <w:t>het taxatierapport wordt verschaft in afwachting van een optreden als getuige-deskundige.</w:t>
            </w:r>
          </w:p>
        </w:tc>
        <w:tc>
          <w:tcPr>
            <w:tcW w:w="3687" w:type="dxa"/>
            <w:tcBorders>
              <w:top w:val="nil"/>
              <w:left w:val="nil"/>
              <w:bottom w:val="single" w:sz="4" w:space="0" w:color="auto"/>
              <w:right w:val="single" w:sz="4" w:space="0" w:color="auto"/>
            </w:tcBorders>
          </w:tcPr>
          <w:p w:rsidR="003C53B1" w:rsidRPr="00644610" w:rsidRDefault="003C53B1" w:rsidP="003C53B1">
            <w:pPr>
              <w:spacing w:line="240" w:lineRule="auto"/>
              <w:rPr>
                <w:rFonts w:eastAsia="Times New Roman" w:cs="Arial"/>
                <w:color w:val="000000"/>
                <w:sz w:val="18"/>
                <w:szCs w:val="18"/>
                <w:lang w:eastAsia="nl-NL"/>
              </w:rPr>
            </w:pPr>
          </w:p>
        </w:tc>
      </w:tr>
      <w:tr w:rsidR="003C53B1" w:rsidRPr="00AB0938" w:rsidTr="00F9058B">
        <w:tc>
          <w:tcPr>
            <w:tcW w:w="3686" w:type="dxa"/>
            <w:tcBorders>
              <w:top w:val="nil"/>
              <w:left w:val="single" w:sz="4" w:space="0" w:color="auto"/>
              <w:bottom w:val="single" w:sz="4" w:space="0" w:color="auto"/>
              <w:right w:val="single" w:sz="4" w:space="0" w:color="auto"/>
            </w:tcBorders>
            <w:shd w:val="clear" w:color="auto" w:fill="auto"/>
            <w:tcMar>
              <w:top w:w="113" w:type="dxa"/>
              <w:bottom w:w="170" w:type="dxa"/>
            </w:tcMar>
            <w:hideMark/>
          </w:tcPr>
          <w:p w:rsidR="003C53B1" w:rsidRDefault="003C53B1" w:rsidP="003C53B1">
            <w:pPr>
              <w:spacing w:line="240" w:lineRule="auto"/>
              <w:rPr>
                <w:rFonts w:eastAsia="Times New Roman" w:cs="Arial"/>
                <w:b/>
                <w:bCs/>
                <w:color w:val="000000"/>
                <w:sz w:val="18"/>
                <w:szCs w:val="18"/>
                <w:lang w:eastAsia="nl-NL"/>
              </w:rPr>
            </w:pPr>
            <w:r w:rsidRPr="00644610">
              <w:rPr>
                <w:rFonts w:eastAsia="Times New Roman" w:cs="Arial"/>
                <w:b/>
                <w:bCs/>
                <w:color w:val="000000"/>
                <w:sz w:val="18"/>
                <w:szCs w:val="18"/>
                <w:lang w:eastAsia="nl-NL"/>
              </w:rPr>
              <w:t>Artikel 17</w:t>
            </w:r>
          </w:p>
          <w:p w:rsidR="003C53B1" w:rsidRPr="00644610" w:rsidRDefault="003C53B1" w:rsidP="003C53B1">
            <w:pPr>
              <w:spacing w:line="240" w:lineRule="auto"/>
              <w:rPr>
                <w:rFonts w:eastAsia="Times New Roman" w:cs="Arial"/>
                <w:b/>
                <w:bCs/>
                <w:color w:val="000000"/>
                <w:sz w:val="18"/>
                <w:szCs w:val="18"/>
                <w:lang w:eastAsia="nl-NL"/>
              </w:rPr>
            </w:pPr>
            <w:r w:rsidRPr="00644610">
              <w:rPr>
                <w:rFonts w:eastAsia="Times New Roman" w:cs="Arial"/>
                <w:b/>
                <w:bCs/>
                <w:color w:val="000000"/>
                <w:sz w:val="18"/>
                <w:szCs w:val="18"/>
                <w:lang w:eastAsia="nl-NL"/>
              </w:rPr>
              <w:t>1.</w:t>
            </w:r>
            <w:r>
              <w:rPr>
                <w:rFonts w:eastAsia="Times New Roman" w:cs="Arial"/>
                <w:b/>
                <w:bCs/>
                <w:color w:val="000000"/>
                <w:sz w:val="18"/>
                <w:szCs w:val="18"/>
                <w:lang w:eastAsia="nl-NL"/>
              </w:rPr>
              <w:t xml:space="preserve"> </w:t>
            </w:r>
            <w:r w:rsidRPr="00644610">
              <w:rPr>
                <w:rFonts w:eastAsia="Times New Roman" w:cs="Arial"/>
                <w:color w:val="000000"/>
                <w:sz w:val="18"/>
                <w:szCs w:val="18"/>
                <w:lang w:eastAsia="nl-NL"/>
              </w:rPr>
              <w:t>De geregistreerde taxateur dient alle bedreigingen voor zijn objectiviteit en onafhankelijkheid te identificeren, en de maatregelen te nemen die redelijkerwijs van hem kunnen worden gevergd alvorens de taxatieopdracht te accepteren. Hij legt eventuele bedreigingen en getroffen maatregelen vast in het taxatierapport;</w:t>
            </w:r>
          </w:p>
        </w:tc>
        <w:tc>
          <w:tcPr>
            <w:tcW w:w="3687" w:type="dxa"/>
            <w:tcBorders>
              <w:top w:val="nil"/>
              <w:left w:val="nil"/>
              <w:bottom w:val="single" w:sz="4" w:space="0" w:color="auto"/>
              <w:right w:val="single" w:sz="4" w:space="0" w:color="auto"/>
            </w:tcBorders>
            <w:shd w:val="clear" w:color="auto" w:fill="auto"/>
            <w:tcMar>
              <w:top w:w="113" w:type="dxa"/>
              <w:bottom w:w="170" w:type="dxa"/>
            </w:tcMar>
            <w:hideMark/>
          </w:tcPr>
          <w:p w:rsidR="003C53B1" w:rsidRPr="00644610" w:rsidRDefault="003C53B1" w:rsidP="003C53B1">
            <w:pPr>
              <w:spacing w:line="240" w:lineRule="auto"/>
              <w:rPr>
                <w:rFonts w:eastAsia="Times New Roman" w:cs="Arial"/>
                <w:color w:val="000000"/>
                <w:sz w:val="18"/>
                <w:szCs w:val="18"/>
                <w:lang w:eastAsia="nl-NL"/>
              </w:rPr>
            </w:pPr>
            <w:r w:rsidRPr="00644610">
              <w:rPr>
                <w:rFonts w:eastAsia="Times New Roman" w:cs="Arial"/>
                <w:color w:val="000000"/>
                <w:sz w:val="18"/>
                <w:szCs w:val="18"/>
                <w:lang w:eastAsia="nl-NL"/>
              </w:rPr>
              <w:t>Tekstuele verduidelijking door het woord "alle" te verwijderen.</w:t>
            </w:r>
          </w:p>
        </w:tc>
        <w:tc>
          <w:tcPr>
            <w:tcW w:w="3687" w:type="dxa"/>
            <w:tcBorders>
              <w:top w:val="nil"/>
              <w:left w:val="nil"/>
              <w:bottom w:val="single" w:sz="4" w:space="0" w:color="auto"/>
              <w:right w:val="single" w:sz="4" w:space="0" w:color="auto"/>
            </w:tcBorders>
          </w:tcPr>
          <w:p w:rsidR="003C53B1" w:rsidRDefault="003C53B1" w:rsidP="003C53B1">
            <w:pPr>
              <w:spacing w:line="240" w:lineRule="auto"/>
              <w:rPr>
                <w:rFonts w:eastAsia="Times New Roman" w:cs="Arial"/>
                <w:b/>
                <w:bCs/>
                <w:color w:val="000000"/>
                <w:sz w:val="18"/>
                <w:szCs w:val="18"/>
                <w:lang w:eastAsia="nl-NL"/>
              </w:rPr>
            </w:pPr>
            <w:r w:rsidRPr="00644610">
              <w:rPr>
                <w:rFonts w:eastAsia="Times New Roman" w:cs="Arial"/>
                <w:b/>
                <w:bCs/>
                <w:color w:val="000000"/>
                <w:sz w:val="18"/>
                <w:szCs w:val="18"/>
                <w:lang w:eastAsia="nl-NL"/>
              </w:rPr>
              <w:t>Artikel 17</w:t>
            </w:r>
          </w:p>
          <w:p w:rsidR="003C53B1" w:rsidRPr="00644610" w:rsidRDefault="003C53B1" w:rsidP="003C53B1">
            <w:pPr>
              <w:spacing w:line="240" w:lineRule="auto"/>
              <w:rPr>
                <w:rFonts w:eastAsia="Times New Roman" w:cs="Arial"/>
                <w:b/>
                <w:bCs/>
                <w:color w:val="000000"/>
                <w:sz w:val="18"/>
                <w:szCs w:val="18"/>
                <w:lang w:eastAsia="nl-NL"/>
              </w:rPr>
            </w:pPr>
            <w:r w:rsidRPr="00644610">
              <w:rPr>
                <w:rFonts w:eastAsia="Times New Roman" w:cs="Arial"/>
                <w:b/>
                <w:bCs/>
                <w:color w:val="000000"/>
                <w:sz w:val="18"/>
                <w:szCs w:val="18"/>
                <w:lang w:eastAsia="nl-NL"/>
              </w:rPr>
              <w:t>1.</w:t>
            </w:r>
            <w:r>
              <w:rPr>
                <w:rFonts w:eastAsia="Times New Roman" w:cs="Arial"/>
                <w:b/>
                <w:bCs/>
                <w:color w:val="000000"/>
                <w:sz w:val="18"/>
                <w:szCs w:val="18"/>
                <w:lang w:eastAsia="nl-NL"/>
              </w:rPr>
              <w:t xml:space="preserve"> </w:t>
            </w:r>
            <w:r w:rsidRPr="00644610">
              <w:rPr>
                <w:rFonts w:eastAsia="Times New Roman" w:cs="Arial"/>
                <w:color w:val="000000"/>
                <w:sz w:val="18"/>
                <w:szCs w:val="18"/>
                <w:lang w:eastAsia="nl-NL"/>
              </w:rPr>
              <w:t>De geregistreerde taxateur dient bedreigingen voor zijn objectiviteit en onafhankelijkheid te identificeren, en de maatregelen te nemen die redelijkerwijs van hem kunnen worden gevergd alvorens de taxatieopdracht te accepteren. Hij legt eventuele bedreigingen en getroffen maatregelen vast in het taxatierapport;</w:t>
            </w:r>
          </w:p>
        </w:tc>
        <w:tc>
          <w:tcPr>
            <w:tcW w:w="3687" w:type="dxa"/>
            <w:tcBorders>
              <w:top w:val="nil"/>
              <w:left w:val="nil"/>
              <w:bottom w:val="single" w:sz="4" w:space="0" w:color="auto"/>
              <w:right w:val="single" w:sz="4" w:space="0" w:color="auto"/>
            </w:tcBorders>
          </w:tcPr>
          <w:p w:rsidR="003C53B1" w:rsidRPr="00644610" w:rsidRDefault="003C53B1" w:rsidP="003C53B1">
            <w:pPr>
              <w:spacing w:line="240" w:lineRule="auto"/>
              <w:rPr>
                <w:rFonts w:eastAsia="Times New Roman" w:cs="Arial"/>
                <w:color w:val="000000"/>
                <w:sz w:val="18"/>
                <w:szCs w:val="18"/>
                <w:lang w:eastAsia="nl-NL"/>
              </w:rPr>
            </w:pPr>
          </w:p>
        </w:tc>
      </w:tr>
      <w:tr w:rsidR="003C53B1" w:rsidRPr="00AB0938" w:rsidTr="00F9058B">
        <w:tc>
          <w:tcPr>
            <w:tcW w:w="3686" w:type="dxa"/>
            <w:tcBorders>
              <w:top w:val="nil"/>
              <w:left w:val="single" w:sz="4" w:space="0" w:color="auto"/>
              <w:bottom w:val="single" w:sz="4" w:space="0" w:color="auto"/>
              <w:right w:val="single" w:sz="4" w:space="0" w:color="auto"/>
            </w:tcBorders>
            <w:shd w:val="clear" w:color="auto" w:fill="auto"/>
            <w:tcMar>
              <w:top w:w="113" w:type="dxa"/>
              <w:bottom w:w="170" w:type="dxa"/>
            </w:tcMar>
            <w:hideMark/>
          </w:tcPr>
          <w:p w:rsidR="003C53B1" w:rsidRPr="00644610" w:rsidRDefault="003C53B1" w:rsidP="003C53B1">
            <w:pPr>
              <w:spacing w:line="240" w:lineRule="auto"/>
              <w:rPr>
                <w:rFonts w:eastAsia="Times New Roman" w:cs="Arial"/>
                <w:color w:val="000000"/>
                <w:sz w:val="18"/>
                <w:szCs w:val="18"/>
                <w:lang w:eastAsia="nl-NL"/>
              </w:rPr>
            </w:pPr>
            <w:r w:rsidRPr="00644610">
              <w:rPr>
                <w:rFonts w:eastAsia="Times New Roman" w:cs="Arial"/>
                <w:b/>
                <w:bCs/>
                <w:color w:val="000000"/>
                <w:sz w:val="18"/>
                <w:szCs w:val="18"/>
                <w:lang w:eastAsia="nl-NL"/>
              </w:rPr>
              <w:t xml:space="preserve">Artikel 24 </w:t>
            </w:r>
            <w:r w:rsidRPr="00644610">
              <w:rPr>
                <w:rFonts w:eastAsia="Times New Roman" w:cs="Arial"/>
                <w:color w:val="000000"/>
                <w:sz w:val="18"/>
                <w:szCs w:val="18"/>
                <w:lang w:eastAsia="nl-NL"/>
              </w:rPr>
              <w:br/>
              <w:t xml:space="preserve">De geregistreerde taxateur gebruikt vertrouwelijke gegevens of inlichtingen niet voor eigen gewin, gewin van zijn </w:t>
            </w:r>
            <w:r w:rsidRPr="00644610">
              <w:rPr>
                <w:rFonts w:eastAsia="Times New Roman" w:cs="Arial"/>
                <w:color w:val="000000"/>
                <w:sz w:val="18"/>
                <w:szCs w:val="18"/>
                <w:lang w:eastAsia="nl-NL"/>
              </w:rPr>
              <w:lastRenderedPageBreak/>
              <w:t xml:space="preserve">organisatie, of het gewin van een derde. De geregistreerde taxateur waakt ervoor dat door middel van zijn taxatierapport of taxatiewerkzaamheden concurrentiegevoelige informatie wordt verstrekt aan een derde die daarover anders geen beschikking had gekregen. </w:t>
            </w:r>
          </w:p>
        </w:tc>
        <w:tc>
          <w:tcPr>
            <w:tcW w:w="3687" w:type="dxa"/>
            <w:tcBorders>
              <w:top w:val="nil"/>
              <w:left w:val="nil"/>
              <w:bottom w:val="single" w:sz="4" w:space="0" w:color="auto"/>
              <w:right w:val="single" w:sz="4" w:space="0" w:color="auto"/>
            </w:tcBorders>
            <w:shd w:val="clear" w:color="auto" w:fill="auto"/>
            <w:tcMar>
              <w:top w:w="113" w:type="dxa"/>
              <w:bottom w:w="170" w:type="dxa"/>
            </w:tcMar>
            <w:hideMark/>
          </w:tcPr>
          <w:p w:rsidR="003C53B1" w:rsidRPr="00644610" w:rsidRDefault="003C53B1" w:rsidP="003C53B1">
            <w:pPr>
              <w:spacing w:line="240" w:lineRule="auto"/>
              <w:rPr>
                <w:rFonts w:eastAsia="Times New Roman" w:cs="Arial"/>
                <w:color w:val="000000"/>
                <w:sz w:val="18"/>
                <w:szCs w:val="18"/>
                <w:lang w:eastAsia="nl-NL"/>
              </w:rPr>
            </w:pPr>
            <w:r w:rsidRPr="00644610">
              <w:rPr>
                <w:rFonts w:eastAsia="Times New Roman" w:cs="Arial"/>
                <w:color w:val="000000"/>
                <w:sz w:val="18"/>
                <w:szCs w:val="18"/>
                <w:lang w:eastAsia="nl-NL"/>
              </w:rPr>
              <w:lastRenderedPageBreak/>
              <w:t xml:space="preserve">Aan het artikel is toegevoegd </w:t>
            </w:r>
            <w:r>
              <w:rPr>
                <w:rFonts w:eastAsia="Times New Roman" w:cs="Arial"/>
                <w:color w:val="000000"/>
                <w:sz w:val="18"/>
                <w:szCs w:val="18"/>
                <w:lang w:eastAsia="nl-NL"/>
              </w:rPr>
              <w:t xml:space="preserve">dat ook </w:t>
            </w:r>
            <w:r w:rsidRPr="00644610">
              <w:rPr>
                <w:rFonts w:eastAsia="Times New Roman" w:cs="Arial"/>
                <w:color w:val="000000"/>
                <w:sz w:val="18"/>
                <w:szCs w:val="18"/>
                <w:lang w:eastAsia="nl-NL"/>
              </w:rPr>
              <w:t xml:space="preserve">de opdrachtgever </w:t>
            </w:r>
            <w:r>
              <w:rPr>
                <w:rFonts w:eastAsia="Times New Roman" w:cs="Arial"/>
                <w:color w:val="000000"/>
                <w:sz w:val="18"/>
                <w:szCs w:val="18"/>
                <w:lang w:eastAsia="nl-NL"/>
              </w:rPr>
              <w:t xml:space="preserve">erop moet letten </w:t>
            </w:r>
            <w:r w:rsidRPr="00644610">
              <w:rPr>
                <w:rFonts w:eastAsia="Times New Roman" w:cs="Arial"/>
                <w:color w:val="000000"/>
                <w:sz w:val="18"/>
                <w:szCs w:val="18"/>
                <w:lang w:eastAsia="nl-NL"/>
              </w:rPr>
              <w:t>geen concurrentiegevoelige informatie aan derden te verstrekken.</w:t>
            </w:r>
          </w:p>
        </w:tc>
        <w:tc>
          <w:tcPr>
            <w:tcW w:w="3687" w:type="dxa"/>
            <w:tcBorders>
              <w:top w:val="nil"/>
              <w:left w:val="nil"/>
              <w:bottom w:val="single" w:sz="4" w:space="0" w:color="auto"/>
              <w:right w:val="single" w:sz="4" w:space="0" w:color="auto"/>
            </w:tcBorders>
          </w:tcPr>
          <w:p w:rsidR="003C53B1" w:rsidRDefault="003C53B1" w:rsidP="003C53B1">
            <w:pPr>
              <w:spacing w:line="240" w:lineRule="auto"/>
              <w:rPr>
                <w:rFonts w:eastAsia="Times New Roman" w:cs="Arial"/>
                <w:b/>
                <w:color w:val="000000"/>
                <w:sz w:val="18"/>
                <w:szCs w:val="18"/>
                <w:lang w:val="nl" w:eastAsia="nl-NL"/>
              </w:rPr>
            </w:pPr>
            <w:r>
              <w:rPr>
                <w:rFonts w:eastAsia="Times New Roman" w:cs="Arial"/>
                <w:b/>
                <w:color w:val="000000"/>
                <w:sz w:val="18"/>
                <w:szCs w:val="18"/>
                <w:lang w:val="nl" w:eastAsia="nl-NL"/>
              </w:rPr>
              <w:t>Artikel 24</w:t>
            </w:r>
          </w:p>
          <w:p w:rsidR="003C53B1" w:rsidRPr="00B76467" w:rsidRDefault="003C53B1" w:rsidP="003C53B1">
            <w:pPr>
              <w:spacing w:line="240" w:lineRule="auto"/>
              <w:rPr>
                <w:rFonts w:eastAsia="Times New Roman" w:cs="Arial"/>
                <w:color w:val="000000"/>
                <w:sz w:val="18"/>
                <w:szCs w:val="18"/>
                <w:lang w:val="nl" w:eastAsia="nl-NL"/>
              </w:rPr>
            </w:pPr>
            <w:r w:rsidRPr="00B76467">
              <w:rPr>
                <w:rFonts w:eastAsia="Times New Roman" w:cs="Arial"/>
                <w:color w:val="000000"/>
                <w:sz w:val="18"/>
                <w:szCs w:val="18"/>
                <w:lang w:val="nl" w:eastAsia="nl-NL"/>
              </w:rPr>
              <w:t xml:space="preserve">De geregistreerde taxateur gebruikt vertrouwelijke gegevens of inlichtingen niet voor eigen gewin, gewin van zijn </w:t>
            </w:r>
            <w:r w:rsidRPr="00B76467">
              <w:rPr>
                <w:rFonts w:eastAsia="Times New Roman" w:cs="Arial"/>
                <w:color w:val="000000"/>
                <w:sz w:val="18"/>
                <w:szCs w:val="18"/>
                <w:lang w:val="nl" w:eastAsia="nl-NL"/>
              </w:rPr>
              <w:lastRenderedPageBreak/>
              <w:t>organisatie, of het gewin van een derde. De geregistreerde taxateur waakt ervoor dat door middel van zijn taxatierapport of taxatiewerkzaamheden concurrentiegevoelige informatie wordt verstrekt aan een derde die daarover anders geen beschikking had gekregen. De geregistreerde taxateur wijst de opdrachtgever erop dat deze dient te voorkomen dat door verstrekking van het taxatierapport concurrentiegevoelige informatie wordt verstrekt aan een derde die daarover anders geen beschikking had gekregen.</w:t>
            </w:r>
          </w:p>
        </w:tc>
        <w:tc>
          <w:tcPr>
            <w:tcW w:w="3687" w:type="dxa"/>
            <w:tcBorders>
              <w:top w:val="nil"/>
              <w:left w:val="nil"/>
              <w:bottom w:val="single" w:sz="4" w:space="0" w:color="auto"/>
              <w:right w:val="single" w:sz="4" w:space="0" w:color="auto"/>
            </w:tcBorders>
          </w:tcPr>
          <w:p w:rsidR="003C53B1" w:rsidRPr="00644610" w:rsidRDefault="003C53B1" w:rsidP="003C53B1">
            <w:pPr>
              <w:spacing w:line="240" w:lineRule="auto"/>
              <w:rPr>
                <w:rFonts w:eastAsia="Times New Roman" w:cs="Arial"/>
                <w:color w:val="000000"/>
                <w:sz w:val="18"/>
                <w:szCs w:val="18"/>
                <w:lang w:eastAsia="nl-NL"/>
              </w:rPr>
            </w:pPr>
          </w:p>
        </w:tc>
      </w:tr>
      <w:tr w:rsidR="003C53B1" w:rsidRPr="00AB0938" w:rsidTr="00F9058B">
        <w:tc>
          <w:tcPr>
            <w:tcW w:w="3686" w:type="dxa"/>
            <w:tcBorders>
              <w:top w:val="nil"/>
              <w:left w:val="single" w:sz="4" w:space="0" w:color="auto"/>
              <w:bottom w:val="single" w:sz="4" w:space="0" w:color="auto"/>
              <w:right w:val="single" w:sz="4" w:space="0" w:color="auto"/>
            </w:tcBorders>
            <w:shd w:val="clear" w:color="auto" w:fill="auto"/>
            <w:tcMar>
              <w:top w:w="113" w:type="dxa"/>
              <w:bottom w:w="170" w:type="dxa"/>
            </w:tcMar>
          </w:tcPr>
          <w:p w:rsidR="003C53B1" w:rsidRDefault="003C53B1" w:rsidP="003C53B1">
            <w:pPr>
              <w:spacing w:line="240" w:lineRule="auto"/>
              <w:rPr>
                <w:rFonts w:eastAsia="Times New Roman" w:cs="Arial"/>
                <w:b/>
                <w:color w:val="000000"/>
                <w:sz w:val="18"/>
                <w:szCs w:val="18"/>
                <w:lang w:eastAsia="nl-NL"/>
              </w:rPr>
            </w:pPr>
            <w:r>
              <w:rPr>
                <w:rFonts w:eastAsia="Times New Roman" w:cs="Arial"/>
                <w:b/>
                <w:color w:val="000000"/>
                <w:sz w:val="18"/>
                <w:szCs w:val="18"/>
                <w:lang w:eastAsia="nl-NL"/>
              </w:rPr>
              <w:t>Artikel 34</w:t>
            </w:r>
          </w:p>
          <w:p w:rsidR="003C53B1" w:rsidRPr="00B76467" w:rsidRDefault="003C53B1" w:rsidP="003C53B1">
            <w:pPr>
              <w:spacing w:line="240" w:lineRule="auto"/>
              <w:rPr>
                <w:rFonts w:eastAsia="Times New Roman" w:cs="Arial"/>
                <w:color w:val="000000"/>
                <w:sz w:val="18"/>
                <w:szCs w:val="18"/>
                <w:lang w:eastAsia="nl-NL"/>
              </w:rPr>
            </w:pPr>
            <w:r>
              <w:rPr>
                <w:rFonts w:eastAsia="Times New Roman" w:cs="Arial"/>
                <w:color w:val="000000"/>
                <w:sz w:val="18"/>
                <w:szCs w:val="18"/>
                <w:lang w:eastAsia="nl-NL"/>
              </w:rPr>
              <w:t xml:space="preserve">Dit reglement wordt binnen een termijn van 12 maanden </w:t>
            </w:r>
            <w:r w:rsidR="00761D74">
              <w:rPr>
                <w:rFonts w:eastAsia="Times New Roman" w:cs="Arial"/>
                <w:color w:val="000000"/>
                <w:sz w:val="18"/>
                <w:szCs w:val="18"/>
                <w:lang w:eastAsia="nl-NL"/>
              </w:rPr>
              <w:t>geëvalueerd</w:t>
            </w:r>
            <w:bookmarkStart w:id="0" w:name="_GoBack"/>
            <w:bookmarkEnd w:id="0"/>
            <w:r>
              <w:rPr>
                <w:rFonts w:eastAsia="Times New Roman" w:cs="Arial"/>
                <w:color w:val="000000"/>
                <w:sz w:val="18"/>
                <w:szCs w:val="18"/>
                <w:lang w:eastAsia="nl-NL"/>
              </w:rPr>
              <w:t>.</w:t>
            </w:r>
          </w:p>
        </w:tc>
        <w:tc>
          <w:tcPr>
            <w:tcW w:w="3687" w:type="dxa"/>
            <w:tcBorders>
              <w:top w:val="nil"/>
              <w:left w:val="nil"/>
              <w:bottom w:val="single" w:sz="4" w:space="0" w:color="auto"/>
              <w:right w:val="single" w:sz="4" w:space="0" w:color="auto"/>
            </w:tcBorders>
            <w:shd w:val="clear" w:color="auto" w:fill="auto"/>
            <w:tcMar>
              <w:top w:w="113" w:type="dxa"/>
              <w:bottom w:w="170" w:type="dxa"/>
            </w:tcMar>
          </w:tcPr>
          <w:p w:rsidR="003C53B1" w:rsidRPr="00644610" w:rsidRDefault="003C53B1" w:rsidP="003C53B1">
            <w:pPr>
              <w:spacing w:line="240" w:lineRule="auto"/>
              <w:rPr>
                <w:rFonts w:eastAsia="Times New Roman" w:cs="Arial"/>
                <w:color w:val="000000"/>
                <w:sz w:val="18"/>
                <w:szCs w:val="18"/>
                <w:lang w:eastAsia="nl-NL"/>
              </w:rPr>
            </w:pPr>
            <w:r>
              <w:rPr>
                <w:rFonts w:eastAsia="Times New Roman" w:cs="Arial"/>
                <w:color w:val="000000"/>
                <w:sz w:val="18"/>
                <w:szCs w:val="18"/>
                <w:lang w:eastAsia="nl-NL"/>
              </w:rPr>
              <w:t>Dit artikel kan worden geschrapt.</w:t>
            </w:r>
          </w:p>
        </w:tc>
        <w:tc>
          <w:tcPr>
            <w:tcW w:w="3687" w:type="dxa"/>
            <w:tcBorders>
              <w:top w:val="nil"/>
              <w:left w:val="nil"/>
              <w:bottom w:val="single" w:sz="4" w:space="0" w:color="auto"/>
              <w:right w:val="single" w:sz="4" w:space="0" w:color="auto"/>
            </w:tcBorders>
          </w:tcPr>
          <w:p w:rsidR="003C53B1" w:rsidRPr="00644610" w:rsidRDefault="003C53B1" w:rsidP="003C53B1">
            <w:pPr>
              <w:spacing w:line="240" w:lineRule="auto"/>
              <w:rPr>
                <w:rFonts w:eastAsia="Times New Roman" w:cs="Arial"/>
                <w:color w:val="000000"/>
                <w:sz w:val="18"/>
                <w:szCs w:val="18"/>
                <w:lang w:eastAsia="nl-NL"/>
              </w:rPr>
            </w:pPr>
            <w:r>
              <w:rPr>
                <w:rFonts w:eastAsia="Times New Roman" w:cs="Arial"/>
                <w:color w:val="000000"/>
                <w:sz w:val="18"/>
                <w:szCs w:val="18"/>
                <w:lang w:eastAsia="nl-NL"/>
              </w:rPr>
              <w:t>-</w:t>
            </w:r>
          </w:p>
        </w:tc>
        <w:tc>
          <w:tcPr>
            <w:tcW w:w="3687" w:type="dxa"/>
            <w:tcBorders>
              <w:top w:val="nil"/>
              <w:left w:val="nil"/>
              <w:bottom w:val="single" w:sz="4" w:space="0" w:color="auto"/>
              <w:right w:val="single" w:sz="4" w:space="0" w:color="auto"/>
            </w:tcBorders>
          </w:tcPr>
          <w:p w:rsidR="003C53B1" w:rsidRPr="00644610" w:rsidRDefault="003C53B1" w:rsidP="003C53B1">
            <w:pPr>
              <w:spacing w:line="240" w:lineRule="auto"/>
              <w:rPr>
                <w:rFonts w:eastAsia="Times New Roman" w:cs="Arial"/>
                <w:color w:val="000000"/>
                <w:sz w:val="18"/>
                <w:szCs w:val="18"/>
                <w:lang w:eastAsia="nl-NL"/>
              </w:rPr>
            </w:pPr>
          </w:p>
        </w:tc>
      </w:tr>
      <w:tr w:rsidR="003C53B1" w:rsidRPr="00AB0938" w:rsidTr="00F9058B">
        <w:tc>
          <w:tcPr>
            <w:tcW w:w="3686" w:type="dxa"/>
            <w:tcBorders>
              <w:top w:val="nil"/>
              <w:left w:val="single" w:sz="4" w:space="0" w:color="auto"/>
              <w:bottom w:val="single" w:sz="4" w:space="0" w:color="auto"/>
              <w:right w:val="single" w:sz="4" w:space="0" w:color="auto"/>
            </w:tcBorders>
            <w:shd w:val="clear" w:color="auto" w:fill="auto"/>
            <w:tcMar>
              <w:top w:w="113" w:type="dxa"/>
              <w:bottom w:w="170" w:type="dxa"/>
            </w:tcMar>
          </w:tcPr>
          <w:p w:rsidR="003C53B1" w:rsidRDefault="003C53B1" w:rsidP="003C53B1">
            <w:pPr>
              <w:spacing w:line="240" w:lineRule="auto"/>
              <w:rPr>
                <w:rFonts w:eastAsia="Times New Roman" w:cs="Arial"/>
                <w:color w:val="000000"/>
                <w:sz w:val="18"/>
                <w:szCs w:val="18"/>
                <w:lang w:eastAsia="nl-NL"/>
              </w:rPr>
            </w:pPr>
            <w:r>
              <w:rPr>
                <w:rFonts w:eastAsia="Times New Roman" w:cs="Arial"/>
                <w:color w:val="000000"/>
                <w:sz w:val="18"/>
                <w:szCs w:val="18"/>
                <w:lang w:eastAsia="nl-NL"/>
              </w:rPr>
              <w:t>Toelichting</w:t>
            </w:r>
          </w:p>
          <w:p w:rsidR="003C53B1" w:rsidRDefault="003C53B1" w:rsidP="003C53B1">
            <w:pPr>
              <w:spacing w:line="240" w:lineRule="auto"/>
              <w:rPr>
                <w:rFonts w:eastAsia="Times New Roman" w:cs="Arial"/>
                <w:color w:val="000000"/>
                <w:sz w:val="18"/>
                <w:szCs w:val="18"/>
                <w:lang w:eastAsia="nl-NL"/>
              </w:rPr>
            </w:pPr>
            <w:r>
              <w:rPr>
                <w:rFonts w:eastAsia="Times New Roman" w:cs="Arial"/>
                <w:b/>
                <w:color w:val="000000"/>
                <w:sz w:val="18"/>
                <w:szCs w:val="18"/>
                <w:lang w:eastAsia="nl-NL"/>
              </w:rPr>
              <w:t>Artikel 16 tot en met Artikel 18</w:t>
            </w:r>
          </w:p>
          <w:p w:rsidR="003C53B1" w:rsidRDefault="003C53B1" w:rsidP="003C53B1">
            <w:pPr>
              <w:spacing w:line="240" w:lineRule="auto"/>
              <w:rPr>
                <w:rFonts w:eastAsia="Times New Roman" w:cs="Arial"/>
                <w:color w:val="000000"/>
                <w:sz w:val="18"/>
                <w:szCs w:val="18"/>
                <w:lang w:eastAsia="nl-NL"/>
              </w:rPr>
            </w:pPr>
          </w:p>
          <w:p w:rsidR="003C53B1" w:rsidRDefault="003C53B1" w:rsidP="003C53B1">
            <w:pPr>
              <w:spacing w:line="240" w:lineRule="auto"/>
              <w:rPr>
                <w:rFonts w:eastAsia="Times New Roman" w:cs="Arial"/>
                <w:color w:val="000000"/>
                <w:sz w:val="18"/>
                <w:szCs w:val="18"/>
                <w:lang w:val="nl" w:eastAsia="nl-NL"/>
              </w:rPr>
            </w:pPr>
            <w:r w:rsidRPr="00C332B4">
              <w:rPr>
                <w:rFonts w:eastAsia="Times New Roman" w:cs="Arial"/>
                <w:color w:val="000000"/>
                <w:sz w:val="18"/>
                <w:szCs w:val="18"/>
                <w:lang w:val="nl" w:eastAsia="nl-NL"/>
              </w:rPr>
              <w:t xml:space="preserve">Onder </w:t>
            </w:r>
            <w:r>
              <w:rPr>
                <w:rFonts w:eastAsia="Times New Roman" w:cs="Arial"/>
                <w:color w:val="000000"/>
                <w:sz w:val="18"/>
                <w:szCs w:val="18"/>
                <w:lang w:val="nl" w:eastAsia="nl-NL"/>
              </w:rPr>
              <w:t xml:space="preserve">ongepaste </w:t>
            </w:r>
            <w:r w:rsidRPr="00C332B4">
              <w:rPr>
                <w:rFonts w:eastAsia="Times New Roman" w:cs="Arial"/>
                <w:color w:val="000000"/>
                <w:sz w:val="18"/>
                <w:szCs w:val="18"/>
                <w:lang w:val="nl" w:eastAsia="nl-NL"/>
              </w:rPr>
              <w:t>beïnvloeding wordt bijvoorbeeld verstaan de afspraak dat de hoogte van het honorarium van de geregistreerde taxateur afhankelijk is van het resultaat van zijn werkzaamheden.</w:t>
            </w:r>
          </w:p>
          <w:p w:rsidR="003C53B1" w:rsidRDefault="003C53B1" w:rsidP="003C53B1">
            <w:pPr>
              <w:spacing w:line="240" w:lineRule="auto"/>
              <w:rPr>
                <w:rFonts w:eastAsia="Times New Roman" w:cs="Arial"/>
                <w:color w:val="000000"/>
                <w:sz w:val="18"/>
                <w:szCs w:val="18"/>
                <w:lang w:val="nl" w:eastAsia="nl-NL"/>
              </w:rPr>
            </w:pPr>
          </w:p>
          <w:p w:rsidR="003C53B1" w:rsidRDefault="003C53B1" w:rsidP="003C53B1">
            <w:pPr>
              <w:spacing w:line="240" w:lineRule="auto"/>
              <w:rPr>
                <w:rFonts w:eastAsia="Times New Roman" w:cs="Arial"/>
                <w:color w:val="000000"/>
                <w:sz w:val="18"/>
                <w:szCs w:val="18"/>
                <w:lang w:val="nl" w:eastAsia="nl-NL"/>
              </w:rPr>
            </w:pPr>
            <w:r>
              <w:rPr>
                <w:rFonts w:eastAsia="Times New Roman" w:cs="Arial"/>
                <w:color w:val="000000"/>
                <w:sz w:val="18"/>
                <w:szCs w:val="18"/>
                <w:lang w:val="nl" w:eastAsia="nl-NL"/>
              </w:rPr>
              <w:t>(…)</w:t>
            </w:r>
          </w:p>
          <w:p w:rsidR="003C53B1" w:rsidRDefault="003C53B1" w:rsidP="003C53B1">
            <w:pPr>
              <w:spacing w:line="240" w:lineRule="auto"/>
              <w:rPr>
                <w:rFonts w:eastAsia="Times New Roman" w:cs="Arial"/>
                <w:color w:val="000000"/>
                <w:sz w:val="18"/>
                <w:szCs w:val="18"/>
                <w:lang w:val="nl" w:eastAsia="nl-NL"/>
              </w:rPr>
            </w:pPr>
          </w:p>
          <w:p w:rsidR="003C53B1" w:rsidRPr="00C332B4" w:rsidRDefault="003C53B1" w:rsidP="003C53B1">
            <w:pPr>
              <w:spacing w:line="240" w:lineRule="auto"/>
              <w:rPr>
                <w:rFonts w:eastAsia="Times New Roman" w:cs="Arial"/>
                <w:color w:val="000000"/>
                <w:sz w:val="18"/>
                <w:szCs w:val="18"/>
                <w:lang w:eastAsia="nl-NL"/>
              </w:rPr>
            </w:pPr>
            <w:r w:rsidRPr="00C332B4">
              <w:rPr>
                <w:rFonts w:eastAsia="Times New Roman" w:cs="Arial"/>
                <w:color w:val="000000"/>
                <w:sz w:val="18"/>
                <w:szCs w:val="18"/>
                <w:lang w:val="nl" w:eastAsia="nl-NL"/>
              </w:rPr>
              <w:t>Daarbij verdient bijzondere aandacht de situatie dat de entiteit waaraan de geregistreerde taxateur is verbonden (zijn werkgever) meerdere diensten verleent (multiservice-organisatie)</w:t>
            </w:r>
            <w:r>
              <w:rPr>
                <w:rFonts w:eastAsia="Times New Roman" w:cs="Arial"/>
                <w:color w:val="000000"/>
                <w:sz w:val="18"/>
                <w:szCs w:val="18"/>
                <w:lang w:val="nl" w:eastAsia="nl-NL"/>
              </w:rPr>
              <w:t>.</w:t>
            </w:r>
          </w:p>
        </w:tc>
        <w:tc>
          <w:tcPr>
            <w:tcW w:w="3687" w:type="dxa"/>
            <w:tcBorders>
              <w:top w:val="nil"/>
              <w:left w:val="nil"/>
              <w:bottom w:val="single" w:sz="4" w:space="0" w:color="auto"/>
              <w:right w:val="single" w:sz="4" w:space="0" w:color="auto"/>
            </w:tcBorders>
            <w:shd w:val="clear" w:color="auto" w:fill="auto"/>
            <w:tcMar>
              <w:top w:w="113" w:type="dxa"/>
              <w:bottom w:w="170" w:type="dxa"/>
            </w:tcMar>
          </w:tcPr>
          <w:p w:rsidR="003C53B1" w:rsidRDefault="003C53B1" w:rsidP="003C53B1">
            <w:pPr>
              <w:spacing w:line="240" w:lineRule="auto"/>
              <w:rPr>
                <w:rFonts w:eastAsia="Times New Roman" w:cs="Arial"/>
                <w:color w:val="000000"/>
                <w:sz w:val="18"/>
                <w:szCs w:val="18"/>
                <w:lang w:eastAsia="nl-NL"/>
              </w:rPr>
            </w:pPr>
          </w:p>
          <w:p w:rsidR="003C53B1" w:rsidRDefault="003C53B1" w:rsidP="003C53B1">
            <w:pPr>
              <w:spacing w:line="240" w:lineRule="auto"/>
              <w:rPr>
                <w:rFonts w:eastAsia="Times New Roman" w:cs="Arial"/>
                <w:color w:val="000000"/>
                <w:sz w:val="18"/>
                <w:szCs w:val="18"/>
                <w:lang w:eastAsia="nl-NL"/>
              </w:rPr>
            </w:pPr>
          </w:p>
          <w:p w:rsidR="003C53B1" w:rsidRDefault="003C53B1" w:rsidP="003C53B1">
            <w:pPr>
              <w:spacing w:line="240" w:lineRule="auto"/>
              <w:rPr>
                <w:rFonts w:eastAsia="Times New Roman" w:cs="Arial"/>
                <w:color w:val="000000"/>
                <w:sz w:val="18"/>
                <w:szCs w:val="18"/>
                <w:lang w:eastAsia="nl-NL"/>
              </w:rPr>
            </w:pPr>
            <w:r>
              <w:rPr>
                <w:rFonts w:eastAsia="Times New Roman" w:cs="Arial"/>
                <w:color w:val="000000"/>
                <w:sz w:val="18"/>
                <w:szCs w:val="18"/>
                <w:lang w:eastAsia="nl-NL"/>
              </w:rPr>
              <w:t>Het woord “ongepaste” is verwijderd.</w:t>
            </w:r>
          </w:p>
          <w:p w:rsidR="003C53B1" w:rsidRDefault="003C53B1" w:rsidP="003C53B1">
            <w:pPr>
              <w:spacing w:line="240" w:lineRule="auto"/>
              <w:rPr>
                <w:rFonts w:eastAsia="Times New Roman" w:cs="Arial"/>
                <w:color w:val="000000"/>
                <w:sz w:val="18"/>
                <w:szCs w:val="18"/>
                <w:lang w:eastAsia="nl-NL"/>
              </w:rPr>
            </w:pPr>
          </w:p>
          <w:p w:rsidR="003C53B1" w:rsidRDefault="003C53B1" w:rsidP="003C53B1">
            <w:pPr>
              <w:spacing w:line="240" w:lineRule="auto"/>
              <w:rPr>
                <w:rFonts w:eastAsia="Times New Roman" w:cs="Arial"/>
                <w:color w:val="000000"/>
                <w:sz w:val="18"/>
                <w:szCs w:val="18"/>
                <w:lang w:eastAsia="nl-NL"/>
              </w:rPr>
            </w:pPr>
          </w:p>
          <w:p w:rsidR="003C53B1" w:rsidRDefault="003C53B1" w:rsidP="003C53B1">
            <w:pPr>
              <w:spacing w:line="240" w:lineRule="auto"/>
              <w:rPr>
                <w:rFonts w:eastAsia="Times New Roman" w:cs="Arial"/>
                <w:color w:val="000000"/>
                <w:sz w:val="18"/>
                <w:szCs w:val="18"/>
                <w:lang w:eastAsia="nl-NL"/>
              </w:rPr>
            </w:pPr>
          </w:p>
          <w:p w:rsidR="003C53B1" w:rsidRDefault="003C53B1" w:rsidP="003C53B1">
            <w:pPr>
              <w:spacing w:line="240" w:lineRule="auto"/>
              <w:rPr>
                <w:rFonts w:eastAsia="Times New Roman" w:cs="Arial"/>
                <w:color w:val="000000"/>
                <w:sz w:val="18"/>
                <w:szCs w:val="18"/>
                <w:lang w:eastAsia="nl-NL"/>
              </w:rPr>
            </w:pPr>
          </w:p>
          <w:p w:rsidR="003C53B1" w:rsidRDefault="003C53B1" w:rsidP="003C53B1">
            <w:pPr>
              <w:spacing w:line="240" w:lineRule="auto"/>
              <w:rPr>
                <w:rFonts w:eastAsia="Times New Roman" w:cs="Arial"/>
                <w:color w:val="000000"/>
                <w:sz w:val="18"/>
                <w:szCs w:val="18"/>
                <w:lang w:eastAsia="nl-NL"/>
              </w:rPr>
            </w:pPr>
          </w:p>
          <w:p w:rsidR="003C53B1" w:rsidRDefault="003C53B1" w:rsidP="003C53B1">
            <w:pPr>
              <w:spacing w:line="240" w:lineRule="auto"/>
              <w:rPr>
                <w:rFonts w:eastAsia="Times New Roman" w:cs="Arial"/>
                <w:color w:val="000000"/>
                <w:sz w:val="18"/>
                <w:szCs w:val="18"/>
                <w:lang w:eastAsia="nl-NL"/>
              </w:rPr>
            </w:pPr>
          </w:p>
          <w:p w:rsidR="003C53B1" w:rsidRDefault="003C53B1" w:rsidP="003C53B1">
            <w:pPr>
              <w:spacing w:line="240" w:lineRule="auto"/>
              <w:rPr>
                <w:rFonts w:eastAsia="Times New Roman" w:cs="Arial"/>
                <w:color w:val="000000"/>
                <w:sz w:val="18"/>
                <w:szCs w:val="18"/>
                <w:lang w:eastAsia="nl-NL"/>
              </w:rPr>
            </w:pPr>
          </w:p>
          <w:p w:rsidR="003C53B1" w:rsidRPr="00644610" w:rsidRDefault="003C53B1" w:rsidP="003C53B1">
            <w:pPr>
              <w:spacing w:line="240" w:lineRule="auto"/>
              <w:rPr>
                <w:rFonts w:eastAsia="Times New Roman" w:cs="Arial"/>
                <w:color w:val="000000"/>
                <w:sz w:val="18"/>
                <w:szCs w:val="18"/>
                <w:lang w:eastAsia="nl-NL"/>
              </w:rPr>
            </w:pPr>
            <w:r>
              <w:rPr>
                <w:rFonts w:eastAsia="Times New Roman" w:cs="Arial"/>
                <w:color w:val="000000"/>
                <w:sz w:val="18"/>
                <w:szCs w:val="18"/>
                <w:lang w:eastAsia="nl-NL"/>
              </w:rPr>
              <w:t xml:space="preserve">Op verzoek van de EC Wonen is </w:t>
            </w:r>
            <w:r w:rsidRPr="00644610">
              <w:rPr>
                <w:rFonts w:eastAsia="Times New Roman" w:cs="Arial"/>
                <w:color w:val="000000"/>
                <w:sz w:val="18"/>
                <w:szCs w:val="18"/>
                <w:lang w:eastAsia="nl-NL"/>
              </w:rPr>
              <w:t xml:space="preserve">"dan wel inzage heeft in de systemen of toegang heeft tot de systemen in informatie van een kantoorgenoot" </w:t>
            </w:r>
            <w:r>
              <w:rPr>
                <w:rFonts w:eastAsia="Times New Roman" w:cs="Arial"/>
                <w:color w:val="000000"/>
                <w:sz w:val="18"/>
                <w:szCs w:val="18"/>
                <w:lang w:eastAsia="nl-NL"/>
              </w:rPr>
              <w:t xml:space="preserve">toegevoegd. Dit is </w:t>
            </w:r>
            <w:r w:rsidRPr="00644610">
              <w:rPr>
                <w:rFonts w:eastAsia="Times New Roman" w:cs="Arial"/>
                <w:color w:val="000000"/>
                <w:sz w:val="18"/>
                <w:szCs w:val="18"/>
                <w:lang w:eastAsia="nl-NL"/>
              </w:rPr>
              <w:t xml:space="preserve">voor </w:t>
            </w:r>
            <w:r>
              <w:rPr>
                <w:rFonts w:eastAsia="Times New Roman" w:cs="Arial"/>
                <w:color w:val="000000"/>
                <w:sz w:val="18"/>
                <w:szCs w:val="18"/>
                <w:lang w:eastAsia="nl-NL"/>
              </w:rPr>
              <w:t xml:space="preserve">het </w:t>
            </w:r>
            <w:r w:rsidRPr="00644610">
              <w:rPr>
                <w:rFonts w:eastAsia="Times New Roman" w:cs="Arial"/>
                <w:color w:val="000000"/>
                <w:sz w:val="18"/>
                <w:szCs w:val="18"/>
                <w:lang w:eastAsia="nl-NL"/>
              </w:rPr>
              <w:t xml:space="preserve">geval waarin een taxateur met anderen (zoals een hypotheek-adviseur) in één kantoor werkzaam </w:t>
            </w:r>
            <w:r>
              <w:rPr>
                <w:rFonts w:eastAsia="Times New Roman" w:cs="Arial"/>
                <w:color w:val="000000"/>
                <w:sz w:val="18"/>
                <w:szCs w:val="18"/>
                <w:lang w:eastAsia="nl-NL"/>
              </w:rPr>
              <w:t>is</w:t>
            </w:r>
            <w:r w:rsidRPr="00644610">
              <w:rPr>
                <w:rFonts w:eastAsia="Times New Roman" w:cs="Arial"/>
                <w:color w:val="000000"/>
                <w:sz w:val="18"/>
                <w:szCs w:val="18"/>
                <w:lang w:eastAsia="nl-NL"/>
              </w:rPr>
              <w:t>.</w:t>
            </w:r>
          </w:p>
        </w:tc>
        <w:tc>
          <w:tcPr>
            <w:tcW w:w="3687" w:type="dxa"/>
            <w:tcBorders>
              <w:top w:val="nil"/>
              <w:left w:val="nil"/>
              <w:bottom w:val="single" w:sz="4" w:space="0" w:color="auto"/>
              <w:right w:val="single" w:sz="4" w:space="0" w:color="auto"/>
            </w:tcBorders>
          </w:tcPr>
          <w:p w:rsidR="003C53B1" w:rsidRDefault="003C53B1" w:rsidP="003C53B1">
            <w:pPr>
              <w:spacing w:line="240" w:lineRule="auto"/>
              <w:rPr>
                <w:rFonts w:eastAsia="Times New Roman" w:cs="Arial"/>
                <w:color w:val="000000"/>
                <w:sz w:val="18"/>
                <w:szCs w:val="18"/>
                <w:lang w:eastAsia="nl-NL"/>
              </w:rPr>
            </w:pPr>
          </w:p>
          <w:p w:rsidR="003C53B1" w:rsidRDefault="003C53B1" w:rsidP="003C53B1">
            <w:pPr>
              <w:spacing w:line="240" w:lineRule="auto"/>
              <w:rPr>
                <w:rFonts w:eastAsia="Times New Roman" w:cs="Arial"/>
                <w:color w:val="000000"/>
                <w:sz w:val="18"/>
                <w:szCs w:val="18"/>
                <w:lang w:val="nl" w:eastAsia="nl-NL"/>
              </w:rPr>
            </w:pPr>
          </w:p>
          <w:p w:rsidR="003C53B1" w:rsidRDefault="003C53B1" w:rsidP="003C53B1">
            <w:pPr>
              <w:spacing w:line="240" w:lineRule="auto"/>
              <w:rPr>
                <w:rFonts w:eastAsia="Times New Roman" w:cs="Arial"/>
                <w:color w:val="000000"/>
                <w:sz w:val="18"/>
                <w:szCs w:val="18"/>
                <w:lang w:val="nl" w:eastAsia="nl-NL"/>
              </w:rPr>
            </w:pPr>
            <w:r w:rsidRPr="00C332B4">
              <w:rPr>
                <w:rFonts w:eastAsia="Times New Roman" w:cs="Arial"/>
                <w:color w:val="000000"/>
                <w:sz w:val="18"/>
                <w:szCs w:val="18"/>
                <w:lang w:val="nl" w:eastAsia="nl-NL"/>
              </w:rPr>
              <w:t>Onder beïnvloeding wordt bijvoorbeeld verstaan de afspraak dat de hoogte van het honorarium van de geregistreerde taxateur afhankelijk is van het resultaat van zijn werkzaamheden.</w:t>
            </w:r>
          </w:p>
          <w:p w:rsidR="003C53B1" w:rsidRDefault="003C53B1" w:rsidP="003C53B1">
            <w:pPr>
              <w:spacing w:line="240" w:lineRule="auto"/>
              <w:rPr>
                <w:rFonts w:eastAsia="Times New Roman" w:cs="Arial"/>
                <w:color w:val="000000"/>
                <w:sz w:val="18"/>
                <w:szCs w:val="18"/>
                <w:lang w:val="nl" w:eastAsia="nl-NL"/>
              </w:rPr>
            </w:pPr>
          </w:p>
          <w:p w:rsidR="003C53B1" w:rsidRPr="00C332B4" w:rsidRDefault="003C53B1" w:rsidP="003C53B1">
            <w:pPr>
              <w:spacing w:line="240" w:lineRule="auto"/>
              <w:rPr>
                <w:rFonts w:eastAsia="Times New Roman" w:cs="Arial"/>
                <w:color w:val="000000"/>
                <w:sz w:val="18"/>
                <w:szCs w:val="18"/>
                <w:lang w:val="nl" w:eastAsia="nl-NL"/>
              </w:rPr>
            </w:pPr>
            <w:r>
              <w:rPr>
                <w:rFonts w:eastAsia="Times New Roman" w:cs="Arial"/>
                <w:color w:val="000000"/>
                <w:sz w:val="18"/>
                <w:szCs w:val="18"/>
                <w:lang w:val="nl" w:eastAsia="nl-NL"/>
              </w:rPr>
              <w:t>(…)</w:t>
            </w:r>
          </w:p>
          <w:p w:rsidR="003C53B1" w:rsidRDefault="003C53B1" w:rsidP="003C53B1">
            <w:pPr>
              <w:spacing w:line="240" w:lineRule="auto"/>
              <w:rPr>
                <w:rFonts w:eastAsia="Times New Roman" w:cs="Arial"/>
                <w:color w:val="000000"/>
                <w:sz w:val="18"/>
                <w:szCs w:val="18"/>
                <w:lang w:eastAsia="nl-NL"/>
              </w:rPr>
            </w:pPr>
          </w:p>
          <w:p w:rsidR="003C53B1" w:rsidRPr="00644610" w:rsidRDefault="003C53B1" w:rsidP="003C53B1">
            <w:pPr>
              <w:spacing w:line="240" w:lineRule="auto"/>
              <w:rPr>
                <w:rFonts w:eastAsia="Times New Roman" w:cs="Arial"/>
                <w:color w:val="000000"/>
                <w:sz w:val="18"/>
                <w:szCs w:val="18"/>
                <w:lang w:eastAsia="nl-NL"/>
              </w:rPr>
            </w:pPr>
            <w:r w:rsidRPr="00C332B4">
              <w:rPr>
                <w:rFonts w:eastAsia="Times New Roman" w:cs="Arial"/>
                <w:color w:val="000000"/>
                <w:sz w:val="18"/>
                <w:szCs w:val="18"/>
                <w:lang w:val="nl" w:eastAsia="nl-NL"/>
              </w:rPr>
              <w:t>Daarbij verdient bijzondere aandacht de situatie dat de entiteit waaraan de geregistreerde taxateur is verbonden (zijn werkgever) meerdere diensten verleent (multiservice-organisatie) dan wel dat de geregistreerde taxateur inzage heeft in de systemen of toegang heeft tot systemen en informatie van kantoorgenoot.</w:t>
            </w:r>
          </w:p>
        </w:tc>
        <w:tc>
          <w:tcPr>
            <w:tcW w:w="3687" w:type="dxa"/>
            <w:tcBorders>
              <w:top w:val="nil"/>
              <w:left w:val="nil"/>
              <w:bottom w:val="single" w:sz="4" w:space="0" w:color="auto"/>
              <w:right w:val="single" w:sz="4" w:space="0" w:color="auto"/>
            </w:tcBorders>
          </w:tcPr>
          <w:p w:rsidR="003C53B1" w:rsidRPr="00644610" w:rsidRDefault="003C53B1" w:rsidP="003C53B1">
            <w:pPr>
              <w:spacing w:line="240" w:lineRule="auto"/>
              <w:rPr>
                <w:rFonts w:eastAsia="Times New Roman" w:cs="Arial"/>
                <w:color w:val="000000"/>
                <w:sz w:val="18"/>
                <w:szCs w:val="18"/>
                <w:lang w:eastAsia="nl-NL"/>
              </w:rPr>
            </w:pPr>
          </w:p>
        </w:tc>
      </w:tr>
    </w:tbl>
    <w:p w:rsidR="00F43C71" w:rsidRDefault="00F43C71" w:rsidP="00E90667"/>
    <w:sectPr w:rsidR="00F43C71" w:rsidSect="00F43C71">
      <w:headerReference w:type="default" r:id="rId7"/>
      <w:headerReference w:type="first" r:id="rId8"/>
      <w:pgSz w:w="16838" w:h="11906" w:orient="landscape" w:code="9"/>
      <w:pgMar w:top="1418"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68" w:rsidRDefault="00123368" w:rsidP="00F43C71">
      <w:pPr>
        <w:spacing w:line="240" w:lineRule="auto"/>
      </w:pPr>
      <w:r>
        <w:separator/>
      </w:r>
    </w:p>
  </w:endnote>
  <w:endnote w:type="continuationSeparator" w:id="0">
    <w:p w:rsidR="00123368" w:rsidRDefault="00123368" w:rsidP="00F43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68" w:rsidRDefault="00123368" w:rsidP="00F43C71">
      <w:pPr>
        <w:spacing w:line="240" w:lineRule="auto"/>
      </w:pPr>
      <w:r>
        <w:separator/>
      </w:r>
    </w:p>
  </w:footnote>
  <w:footnote w:type="continuationSeparator" w:id="0">
    <w:p w:rsidR="00123368" w:rsidRDefault="00123368" w:rsidP="00F43C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68" w:rsidRPr="00F6024E" w:rsidRDefault="00123368" w:rsidP="00F6024E">
    <w:pPr>
      <w:pStyle w:val="Koptekst"/>
      <w:tabs>
        <w:tab w:val="clear" w:pos="4536"/>
        <w:tab w:val="clear" w:pos="9072"/>
        <w:tab w:val="right" w:pos="15026"/>
      </w:tabs>
      <w:rPr>
        <w:rFonts w:ascii="Georgia" w:hAnsi="Georgia"/>
        <w:sz w:val="24"/>
        <w:szCs w:val="24"/>
      </w:rPr>
    </w:pPr>
    <w:r w:rsidRPr="00F6024E">
      <w:rPr>
        <w:rFonts w:ascii="Georgia" w:hAnsi="Georgia"/>
        <w:noProof/>
        <w:sz w:val="28"/>
        <w:szCs w:val="28"/>
        <w:lang w:eastAsia="nl-NL"/>
      </w:rPr>
      <w:drawing>
        <wp:anchor distT="0" distB="0" distL="114300" distR="114300" simplePos="0" relativeHeight="251660288" behindDoc="0" locked="0" layoutInCell="1" allowOverlap="1">
          <wp:simplePos x="0" y="0"/>
          <wp:positionH relativeFrom="column">
            <wp:posOffset>2540</wp:posOffset>
          </wp:positionH>
          <wp:positionV relativeFrom="paragraph">
            <wp:posOffset>-17145</wp:posOffset>
          </wp:positionV>
          <wp:extent cx="1871894" cy="371475"/>
          <wp:effectExtent l="0" t="0" r="0" b="0"/>
          <wp:wrapNone/>
          <wp:docPr id="2" name="Afbeelding 2" descr="O:\06. Communicatie\6. Huisstijl\logo NRVT\NRVT-logo 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6. Communicatie\6. Huisstijl\logo NRVT\NRVT-logo link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1894"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28"/>
        <w:szCs w:val="28"/>
      </w:rPr>
      <w:tab/>
    </w:r>
    <w:r w:rsidRPr="00F6024E">
      <w:rPr>
        <w:rFonts w:ascii="Georgia" w:hAnsi="Georgia"/>
        <w:color w:val="808080" w:themeColor="background1" w:themeShade="80"/>
        <w:sz w:val="24"/>
        <w:szCs w:val="24"/>
      </w:rPr>
      <w:fldChar w:fldCharType="begin"/>
    </w:r>
    <w:r w:rsidRPr="00F6024E">
      <w:rPr>
        <w:rFonts w:ascii="Georgia" w:hAnsi="Georgia"/>
        <w:color w:val="808080" w:themeColor="background1" w:themeShade="80"/>
        <w:sz w:val="24"/>
        <w:szCs w:val="24"/>
      </w:rPr>
      <w:instrText>PAGE   \* MERGEFORMAT</w:instrText>
    </w:r>
    <w:r w:rsidRPr="00F6024E">
      <w:rPr>
        <w:rFonts w:ascii="Georgia" w:hAnsi="Georgia"/>
        <w:color w:val="808080" w:themeColor="background1" w:themeShade="80"/>
        <w:sz w:val="24"/>
        <w:szCs w:val="24"/>
      </w:rPr>
      <w:fldChar w:fldCharType="separate"/>
    </w:r>
    <w:r w:rsidR="00761D74">
      <w:rPr>
        <w:rFonts w:ascii="Georgia" w:hAnsi="Georgia"/>
        <w:noProof/>
        <w:color w:val="808080" w:themeColor="background1" w:themeShade="80"/>
        <w:sz w:val="24"/>
        <w:szCs w:val="24"/>
      </w:rPr>
      <w:t>4</w:t>
    </w:r>
    <w:r w:rsidRPr="00F6024E">
      <w:rPr>
        <w:rFonts w:ascii="Georgia" w:hAnsi="Georgia"/>
        <w:color w:val="808080" w:themeColor="background1" w:themeShade="8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68" w:rsidRDefault="00123368" w:rsidP="00F43C71">
    <w:pPr>
      <w:pStyle w:val="Koptekst"/>
      <w:tabs>
        <w:tab w:val="clear" w:pos="4536"/>
        <w:tab w:val="clear" w:pos="9072"/>
      </w:tabs>
      <w:spacing w:before="180"/>
      <w:rPr>
        <w:rFonts w:ascii="Georgia" w:hAnsi="Georgia"/>
        <w:sz w:val="28"/>
        <w:szCs w:val="28"/>
      </w:rPr>
    </w:pPr>
    <w:r>
      <w:rPr>
        <w:rFonts w:eastAsia="Times New Roman"/>
        <w:noProof/>
        <w:lang w:eastAsia="nl-NL"/>
      </w:rPr>
      <w:drawing>
        <wp:anchor distT="0" distB="0" distL="114300" distR="114300" simplePos="0" relativeHeight="251659264" behindDoc="0" locked="0" layoutInCell="1" allowOverlap="1" wp14:anchorId="727F5671" wp14:editId="1A240F49">
          <wp:simplePos x="0" y="0"/>
          <wp:positionH relativeFrom="margin">
            <wp:align>right</wp:align>
          </wp:positionH>
          <wp:positionV relativeFrom="topMargin">
            <wp:align>bottom</wp:align>
          </wp:positionV>
          <wp:extent cx="2731725" cy="542925"/>
          <wp:effectExtent l="0" t="0" r="0" b="0"/>
          <wp:wrapSquare wrapText="bothSides"/>
          <wp:docPr id="1" name="Afbeelding 1" descr="cid:19ab5dc2-89ad-4d5c-a308-4f481660799e@cer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9ab5dc2-89ad-4d5c-a308-4f481660799e@cer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31725" cy="542925"/>
                  </a:xfrm>
                  <a:prstGeom prst="rect">
                    <a:avLst/>
                  </a:prstGeom>
                  <a:noFill/>
                  <a:ln>
                    <a:noFill/>
                  </a:ln>
                </pic:spPr>
              </pic:pic>
            </a:graphicData>
          </a:graphic>
        </wp:anchor>
      </w:drawing>
    </w:r>
    <w:r w:rsidR="0077521E">
      <w:rPr>
        <w:rFonts w:ascii="Georgia" w:hAnsi="Georgia"/>
        <w:sz w:val="28"/>
        <w:szCs w:val="28"/>
      </w:rPr>
      <w:t>W</w:t>
    </w:r>
    <w:r>
      <w:rPr>
        <w:rFonts w:ascii="Georgia" w:hAnsi="Georgia"/>
        <w:sz w:val="28"/>
        <w:szCs w:val="28"/>
      </w:rPr>
      <w:t>ijzigingen 2017  -  ‘Eenduidigheid’ en ‘Laaghangend fruit’</w:t>
    </w:r>
  </w:p>
  <w:p w:rsidR="0077521E" w:rsidRPr="0077521E" w:rsidRDefault="0077521E" w:rsidP="00F43C71">
    <w:pPr>
      <w:pStyle w:val="Koptekst"/>
      <w:tabs>
        <w:tab w:val="clear" w:pos="4536"/>
        <w:tab w:val="clear" w:pos="9072"/>
      </w:tabs>
      <w:spacing w:before="180"/>
    </w:pPr>
    <w:r>
      <w:rPr>
        <w:rFonts w:ascii="Georgia" w:hAnsi="Georgia"/>
        <w:b/>
        <w:sz w:val="28"/>
        <w:szCs w:val="28"/>
      </w:rPr>
      <w:t xml:space="preserve">Algemene Gedrags- en beroepsregels </w:t>
    </w:r>
    <w:r>
      <w:rPr>
        <w:rFonts w:ascii="Georgia" w:hAnsi="Georgia"/>
        <w:sz w:val="28"/>
        <w:szCs w:val="28"/>
      </w:rPr>
      <w:t>- consultatiedocument</w:t>
    </w:r>
  </w:p>
  <w:p w:rsidR="00123368" w:rsidRDefault="0012336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2779"/>
    <w:multiLevelType w:val="hybridMultilevel"/>
    <w:tmpl w:val="FDD80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469AF"/>
    <w:multiLevelType w:val="hybridMultilevel"/>
    <w:tmpl w:val="CC4632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4A24C6"/>
    <w:multiLevelType w:val="hybridMultilevel"/>
    <w:tmpl w:val="7586F5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6E1D46"/>
    <w:multiLevelType w:val="hybridMultilevel"/>
    <w:tmpl w:val="8A8EF1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312B9A"/>
    <w:multiLevelType w:val="hybridMultilevel"/>
    <w:tmpl w:val="6AAA5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9B4E1A"/>
    <w:multiLevelType w:val="multilevel"/>
    <w:tmpl w:val="3E9079BE"/>
    <w:lvl w:ilvl="0">
      <w:start w:val="1"/>
      <w:numFmt w:val="lowerLetter"/>
      <w:pStyle w:val="DSLijstnummering2Binnen"/>
      <w:lvlText w:val="%1."/>
      <w:lvlJc w:val="left"/>
      <w:pPr>
        <w:tabs>
          <w:tab w:val="num" w:pos="1702"/>
        </w:tabs>
        <w:ind w:left="1702" w:hanging="851"/>
      </w:pPr>
      <w:rPr>
        <w:rFonts w:hint="default"/>
      </w:rPr>
    </w:lvl>
    <w:lvl w:ilvl="1">
      <w:start w:val="1"/>
      <w:numFmt w:val="lowerLetter"/>
      <w:lvlText w:val="%2)"/>
      <w:lvlJc w:val="left"/>
      <w:pPr>
        <w:tabs>
          <w:tab w:val="num" w:pos="2553"/>
        </w:tabs>
        <w:ind w:left="2553" w:hanging="851"/>
      </w:pPr>
      <w:rPr>
        <w:rFonts w:hint="default"/>
      </w:rPr>
    </w:lvl>
    <w:lvl w:ilvl="2">
      <w:start w:val="1"/>
      <w:numFmt w:val="lowerRoman"/>
      <w:lvlText w:val="%3)"/>
      <w:lvlJc w:val="left"/>
      <w:pPr>
        <w:tabs>
          <w:tab w:val="num" w:pos="3404"/>
        </w:tabs>
        <w:ind w:left="3404" w:hanging="851"/>
      </w:pPr>
      <w:rPr>
        <w:rFonts w:hint="default"/>
      </w:rPr>
    </w:lvl>
    <w:lvl w:ilvl="3">
      <w:start w:val="1"/>
      <w:numFmt w:val="decimal"/>
      <w:lvlText w:val="(%4)"/>
      <w:lvlJc w:val="left"/>
      <w:pPr>
        <w:tabs>
          <w:tab w:val="num" w:pos="4255"/>
        </w:tabs>
        <w:ind w:left="4255" w:hanging="851"/>
      </w:pPr>
      <w:rPr>
        <w:rFonts w:hint="default"/>
      </w:rPr>
    </w:lvl>
    <w:lvl w:ilvl="4">
      <w:start w:val="1"/>
      <w:numFmt w:val="lowerLetter"/>
      <w:lvlText w:val="(%5)"/>
      <w:lvlJc w:val="left"/>
      <w:pPr>
        <w:tabs>
          <w:tab w:val="num" w:pos="5106"/>
        </w:tabs>
        <w:ind w:left="5106" w:hanging="851"/>
      </w:pPr>
      <w:rPr>
        <w:rFonts w:hint="default"/>
      </w:rPr>
    </w:lvl>
    <w:lvl w:ilvl="5">
      <w:start w:val="1"/>
      <w:numFmt w:val="lowerRoman"/>
      <w:lvlText w:val="(%6)"/>
      <w:lvlJc w:val="left"/>
      <w:pPr>
        <w:tabs>
          <w:tab w:val="num" w:pos="5957"/>
        </w:tabs>
        <w:ind w:left="5957" w:hanging="851"/>
      </w:pPr>
      <w:rPr>
        <w:rFonts w:hint="default"/>
      </w:rPr>
    </w:lvl>
    <w:lvl w:ilvl="6">
      <w:start w:val="1"/>
      <w:numFmt w:val="decimal"/>
      <w:lvlText w:val="%7."/>
      <w:lvlJc w:val="left"/>
      <w:pPr>
        <w:tabs>
          <w:tab w:val="num" w:pos="6808"/>
        </w:tabs>
        <w:ind w:left="6808" w:hanging="851"/>
      </w:pPr>
      <w:rPr>
        <w:rFonts w:hint="default"/>
      </w:rPr>
    </w:lvl>
    <w:lvl w:ilvl="7">
      <w:start w:val="1"/>
      <w:numFmt w:val="lowerLetter"/>
      <w:lvlText w:val="%8."/>
      <w:lvlJc w:val="left"/>
      <w:pPr>
        <w:tabs>
          <w:tab w:val="num" w:pos="7659"/>
        </w:tabs>
        <w:ind w:left="7659" w:hanging="851"/>
      </w:pPr>
      <w:rPr>
        <w:rFonts w:hint="default"/>
      </w:rPr>
    </w:lvl>
    <w:lvl w:ilvl="8">
      <w:start w:val="1"/>
      <w:numFmt w:val="lowerRoman"/>
      <w:lvlText w:val="%9."/>
      <w:lvlJc w:val="left"/>
      <w:pPr>
        <w:tabs>
          <w:tab w:val="num" w:pos="8510"/>
        </w:tabs>
        <w:ind w:left="8510" w:hanging="851"/>
      </w:pPr>
      <w:rPr>
        <w:rFonts w:hint="default"/>
      </w:rPr>
    </w:lvl>
  </w:abstractNum>
  <w:abstractNum w:abstractNumId="6" w15:restartNumberingAfterBreak="0">
    <w:nsid w:val="7E1D5FE5"/>
    <w:multiLevelType w:val="hybridMultilevel"/>
    <w:tmpl w:val="56C8ABB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71"/>
    <w:rsid w:val="00004EFB"/>
    <w:rsid w:val="00040A24"/>
    <w:rsid w:val="00050915"/>
    <w:rsid w:val="00055BE9"/>
    <w:rsid w:val="000861C5"/>
    <w:rsid w:val="000C348A"/>
    <w:rsid w:val="000E325E"/>
    <w:rsid w:val="000E6B4B"/>
    <w:rsid w:val="000F1C03"/>
    <w:rsid w:val="00123368"/>
    <w:rsid w:val="001B73A7"/>
    <w:rsid w:val="00203461"/>
    <w:rsid w:val="0025733B"/>
    <w:rsid w:val="002C2DBF"/>
    <w:rsid w:val="002C54ED"/>
    <w:rsid w:val="00324EAC"/>
    <w:rsid w:val="0033651D"/>
    <w:rsid w:val="00342215"/>
    <w:rsid w:val="00347475"/>
    <w:rsid w:val="00353E88"/>
    <w:rsid w:val="003C53B1"/>
    <w:rsid w:val="003D6B4C"/>
    <w:rsid w:val="003F4B6E"/>
    <w:rsid w:val="00432EC6"/>
    <w:rsid w:val="004538F6"/>
    <w:rsid w:val="00475B98"/>
    <w:rsid w:val="0049011D"/>
    <w:rsid w:val="004B13B7"/>
    <w:rsid w:val="00500403"/>
    <w:rsid w:val="005040A6"/>
    <w:rsid w:val="0054039D"/>
    <w:rsid w:val="005421D9"/>
    <w:rsid w:val="00566476"/>
    <w:rsid w:val="005B7E08"/>
    <w:rsid w:val="00621B06"/>
    <w:rsid w:val="006375B9"/>
    <w:rsid w:val="00643082"/>
    <w:rsid w:val="00644610"/>
    <w:rsid w:val="006450AD"/>
    <w:rsid w:val="0065528C"/>
    <w:rsid w:val="00667958"/>
    <w:rsid w:val="00676587"/>
    <w:rsid w:val="00682601"/>
    <w:rsid w:val="006939BA"/>
    <w:rsid w:val="00693C2D"/>
    <w:rsid w:val="006A2B36"/>
    <w:rsid w:val="007501A7"/>
    <w:rsid w:val="00756603"/>
    <w:rsid w:val="00761D74"/>
    <w:rsid w:val="0077521E"/>
    <w:rsid w:val="007A7CBD"/>
    <w:rsid w:val="007D79F6"/>
    <w:rsid w:val="00816379"/>
    <w:rsid w:val="00840892"/>
    <w:rsid w:val="00853143"/>
    <w:rsid w:val="008752BC"/>
    <w:rsid w:val="00881EF7"/>
    <w:rsid w:val="0089571F"/>
    <w:rsid w:val="008C06E6"/>
    <w:rsid w:val="008C2155"/>
    <w:rsid w:val="008C72B3"/>
    <w:rsid w:val="00921E2B"/>
    <w:rsid w:val="0092521C"/>
    <w:rsid w:val="009416D7"/>
    <w:rsid w:val="009537CC"/>
    <w:rsid w:val="0096768D"/>
    <w:rsid w:val="00987863"/>
    <w:rsid w:val="009A5956"/>
    <w:rsid w:val="00A31C11"/>
    <w:rsid w:val="00A43C32"/>
    <w:rsid w:val="00A80E5D"/>
    <w:rsid w:val="00AB0938"/>
    <w:rsid w:val="00AE25B0"/>
    <w:rsid w:val="00AF7958"/>
    <w:rsid w:val="00B26345"/>
    <w:rsid w:val="00B4136B"/>
    <w:rsid w:val="00B56857"/>
    <w:rsid w:val="00B76467"/>
    <w:rsid w:val="00B81623"/>
    <w:rsid w:val="00BA5D36"/>
    <w:rsid w:val="00BB2807"/>
    <w:rsid w:val="00BD6DC0"/>
    <w:rsid w:val="00C332B4"/>
    <w:rsid w:val="00CD74B6"/>
    <w:rsid w:val="00CE157A"/>
    <w:rsid w:val="00CE2B74"/>
    <w:rsid w:val="00D22EEE"/>
    <w:rsid w:val="00D25E6A"/>
    <w:rsid w:val="00D37402"/>
    <w:rsid w:val="00D7201F"/>
    <w:rsid w:val="00DA7516"/>
    <w:rsid w:val="00DD4A39"/>
    <w:rsid w:val="00DE3770"/>
    <w:rsid w:val="00DF4FD1"/>
    <w:rsid w:val="00E306CF"/>
    <w:rsid w:val="00E824D6"/>
    <w:rsid w:val="00E84914"/>
    <w:rsid w:val="00E90667"/>
    <w:rsid w:val="00EE1EED"/>
    <w:rsid w:val="00F43C71"/>
    <w:rsid w:val="00F6024E"/>
    <w:rsid w:val="00F903B8"/>
    <w:rsid w:val="00F9058B"/>
    <w:rsid w:val="00F97AA7"/>
    <w:rsid w:val="00FD2D10"/>
    <w:rsid w:val="00FF0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0286984-7C1C-4B65-AC3B-5FA78432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3C7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3C71"/>
  </w:style>
  <w:style w:type="paragraph" w:styleId="Voettekst">
    <w:name w:val="footer"/>
    <w:basedOn w:val="Standaard"/>
    <w:link w:val="VoettekstChar"/>
    <w:uiPriority w:val="99"/>
    <w:unhideWhenUsed/>
    <w:rsid w:val="00F43C7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43C71"/>
  </w:style>
  <w:style w:type="paragraph" w:styleId="Lijstalinea">
    <w:name w:val="List Paragraph"/>
    <w:basedOn w:val="Standaard"/>
    <w:uiPriority w:val="34"/>
    <w:qFormat/>
    <w:rsid w:val="001B73A7"/>
    <w:pPr>
      <w:ind w:left="720"/>
      <w:contextualSpacing/>
    </w:pPr>
  </w:style>
  <w:style w:type="paragraph" w:customStyle="1" w:styleId="DSLijstnummering2Binnen">
    <w:name w:val="DS_Lijstnummering2_Binnen"/>
    <w:basedOn w:val="Standaard"/>
    <w:qFormat/>
    <w:rsid w:val="00CE2B74"/>
    <w:pPr>
      <w:numPr>
        <w:numId w:val="4"/>
      </w:numPr>
      <w:spacing w:line="300" w:lineRule="atLeast"/>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5855">
      <w:bodyDiv w:val="1"/>
      <w:marLeft w:val="0"/>
      <w:marRight w:val="0"/>
      <w:marTop w:val="0"/>
      <w:marBottom w:val="0"/>
      <w:divBdr>
        <w:top w:val="none" w:sz="0" w:space="0" w:color="auto"/>
        <w:left w:val="none" w:sz="0" w:space="0" w:color="auto"/>
        <w:bottom w:val="none" w:sz="0" w:space="0" w:color="auto"/>
        <w:right w:val="none" w:sz="0" w:space="0" w:color="auto"/>
      </w:divBdr>
    </w:div>
    <w:div w:id="353121119">
      <w:bodyDiv w:val="1"/>
      <w:marLeft w:val="0"/>
      <w:marRight w:val="0"/>
      <w:marTop w:val="0"/>
      <w:marBottom w:val="0"/>
      <w:divBdr>
        <w:top w:val="none" w:sz="0" w:space="0" w:color="auto"/>
        <w:left w:val="none" w:sz="0" w:space="0" w:color="auto"/>
        <w:bottom w:val="none" w:sz="0" w:space="0" w:color="auto"/>
        <w:right w:val="none" w:sz="0" w:space="0" w:color="auto"/>
      </w:divBdr>
    </w:div>
    <w:div w:id="722215004">
      <w:bodyDiv w:val="1"/>
      <w:marLeft w:val="0"/>
      <w:marRight w:val="0"/>
      <w:marTop w:val="0"/>
      <w:marBottom w:val="0"/>
      <w:divBdr>
        <w:top w:val="none" w:sz="0" w:space="0" w:color="auto"/>
        <w:left w:val="none" w:sz="0" w:space="0" w:color="auto"/>
        <w:bottom w:val="none" w:sz="0" w:space="0" w:color="auto"/>
        <w:right w:val="none" w:sz="0" w:space="0" w:color="auto"/>
      </w:divBdr>
    </w:div>
    <w:div w:id="737174241">
      <w:bodyDiv w:val="1"/>
      <w:marLeft w:val="0"/>
      <w:marRight w:val="0"/>
      <w:marTop w:val="0"/>
      <w:marBottom w:val="0"/>
      <w:divBdr>
        <w:top w:val="none" w:sz="0" w:space="0" w:color="auto"/>
        <w:left w:val="none" w:sz="0" w:space="0" w:color="auto"/>
        <w:bottom w:val="none" w:sz="0" w:space="0" w:color="auto"/>
        <w:right w:val="none" w:sz="0" w:space="0" w:color="auto"/>
      </w:divBdr>
    </w:div>
    <w:div w:id="1283995867">
      <w:bodyDiv w:val="1"/>
      <w:marLeft w:val="0"/>
      <w:marRight w:val="0"/>
      <w:marTop w:val="0"/>
      <w:marBottom w:val="0"/>
      <w:divBdr>
        <w:top w:val="none" w:sz="0" w:space="0" w:color="auto"/>
        <w:left w:val="none" w:sz="0" w:space="0" w:color="auto"/>
        <w:bottom w:val="none" w:sz="0" w:space="0" w:color="auto"/>
        <w:right w:val="none" w:sz="0" w:space="0" w:color="auto"/>
      </w:divBdr>
    </w:div>
    <w:div w:id="1487941522">
      <w:bodyDiv w:val="1"/>
      <w:marLeft w:val="0"/>
      <w:marRight w:val="0"/>
      <w:marTop w:val="0"/>
      <w:marBottom w:val="0"/>
      <w:divBdr>
        <w:top w:val="none" w:sz="0" w:space="0" w:color="auto"/>
        <w:left w:val="none" w:sz="0" w:space="0" w:color="auto"/>
        <w:bottom w:val="none" w:sz="0" w:space="0" w:color="auto"/>
        <w:right w:val="none" w:sz="0" w:space="0" w:color="auto"/>
      </w:divBdr>
    </w:div>
    <w:div w:id="16464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19ab5dc2-89ad-4d5c-a308-4f481660799e@cert.local"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E91A0140A164CB603DFB80937F7D2" ma:contentTypeVersion="13" ma:contentTypeDescription="Create a new document." ma:contentTypeScope="" ma:versionID="63f89869cc4f2304d88d3c5b496c2f0e">
  <xsd:schema xmlns:xsd="http://www.w3.org/2001/XMLSchema" xmlns:xs="http://www.w3.org/2001/XMLSchema" xmlns:p="http://schemas.microsoft.com/office/2006/metadata/properties" xmlns:ns2="09039944-2fab-4bc1-8f2a-6b1a05fe2e82" xmlns:ns3="536fd2ae-1e46-4c6d-884d-3c43cb2ce934" targetNamespace="http://schemas.microsoft.com/office/2006/metadata/properties" ma:root="true" ma:fieldsID="906f3bdc5377f8b418b4173bffd11866" ns2:_="" ns3:_="">
    <xsd:import namespace="09039944-2fab-4bc1-8f2a-6b1a05fe2e82"/>
    <xsd:import namespace="536fd2ae-1e46-4c6d-884d-3c43cb2ce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9944-2fab-4bc1-8f2a-6b1a05fe2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fd2ae-1e46-4c6d-884d-3c43cb2c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9C39C-D7E8-450F-9C9A-79CF4279A6D3}"/>
</file>

<file path=customXml/itemProps2.xml><?xml version="1.0" encoding="utf-8"?>
<ds:datastoreItem xmlns:ds="http://schemas.openxmlformats.org/officeDocument/2006/customXml" ds:itemID="{CBE015A3-7EE0-45A0-B3F1-E287FF6B5704}"/>
</file>

<file path=customXml/itemProps3.xml><?xml version="1.0" encoding="utf-8"?>
<ds:datastoreItem xmlns:ds="http://schemas.openxmlformats.org/officeDocument/2006/customXml" ds:itemID="{3E17AA1D-7F1C-4C66-85CA-8A372008BB6A}"/>
</file>

<file path=docProps/app.xml><?xml version="1.0" encoding="utf-8"?>
<Properties xmlns="http://schemas.openxmlformats.org/officeDocument/2006/extended-properties" xmlns:vt="http://schemas.openxmlformats.org/officeDocument/2006/docPropsVTypes">
  <Template>Normal</Template>
  <TotalTime>36</TotalTime>
  <Pages>4</Pages>
  <Words>1443</Words>
  <Characters>7939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Slootweg</dc:creator>
  <cp:keywords/>
  <dc:description/>
  <cp:lastModifiedBy>Hugo Slootweg</cp:lastModifiedBy>
  <cp:revision>14</cp:revision>
  <dcterms:created xsi:type="dcterms:W3CDTF">2017-04-04T11:53:00Z</dcterms:created>
  <dcterms:modified xsi:type="dcterms:W3CDTF">2017-04-04T14:19:00Z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0x01010073FE91A0140A164CB603DFB80937F7D2</vt:lpwstr>
  </property>
</Properties>
</file>